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914FE3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Dodávka licencí SAP a poskytování souvisejících služeb</w:t>
      </w:r>
    </w:p>
    <w:p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4E2920">
        <w:rPr>
          <w:rFonts w:cs="Arial"/>
          <w:sz w:val="20"/>
          <w:szCs w:val="20"/>
        </w:rPr>
        <w:t>Ev.č</w:t>
      </w:r>
      <w:proofErr w:type="spellEnd"/>
      <w:r w:rsidRPr="004E2920">
        <w:rPr>
          <w:rFonts w:cs="Arial"/>
          <w:sz w:val="20"/>
          <w:szCs w:val="20"/>
        </w:rPr>
        <w:t>.</w:t>
      </w:r>
      <w:proofErr w:type="gramEnd"/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914FE3" w:rsidRPr="00914FE3">
        <w:rPr>
          <w:rFonts w:cs="Arial"/>
          <w:sz w:val="20"/>
          <w:szCs w:val="20"/>
        </w:rPr>
        <w:t>639422</w:t>
      </w: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18DBBF45" wp14:editId="41458286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914FE3" w:rsidRPr="008528F2" w:rsidRDefault="00A31705" w:rsidP="00914FE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914FE3" w:rsidRPr="008528F2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914FE3">
        <w:rPr>
          <w:rFonts w:ascii="Arial" w:hAnsi="Arial" w:cs="Arial"/>
          <w:sz w:val="20"/>
          <w:szCs w:val="20"/>
          <w:lang w:eastAsia="en-US" w:bidi="en-US"/>
        </w:rPr>
        <w:t>8</w:t>
      </w:r>
      <w:r w:rsidR="00914FE3" w:rsidRPr="008528F2">
        <w:rPr>
          <w:rFonts w:ascii="Arial" w:hAnsi="Arial" w:cs="Arial"/>
          <w:sz w:val="20"/>
          <w:szCs w:val="20"/>
          <w:lang w:eastAsia="en-US" w:bidi="en-US"/>
        </w:rPr>
        <w:t>.</w:t>
      </w:r>
      <w:r w:rsidR="00914FE3">
        <w:rPr>
          <w:rFonts w:ascii="Arial" w:hAnsi="Arial" w:cs="Arial"/>
          <w:sz w:val="20"/>
          <w:szCs w:val="20"/>
          <w:lang w:eastAsia="en-US" w:bidi="en-US"/>
        </w:rPr>
        <w:t xml:space="preserve"> 9. </w:t>
      </w:r>
      <w:r w:rsidR="00914FE3" w:rsidRPr="008528F2">
        <w:rPr>
          <w:rFonts w:ascii="Arial" w:hAnsi="Arial" w:cs="Arial"/>
          <w:sz w:val="20"/>
          <w:szCs w:val="20"/>
          <w:lang w:eastAsia="en-US" w:bidi="en-US"/>
        </w:rPr>
        <w:t>201</w:t>
      </w:r>
      <w:r w:rsidR="00914FE3">
        <w:rPr>
          <w:rFonts w:ascii="Arial" w:hAnsi="Arial" w:cs="Arial"/>
          <w:sz w:val="20"/>
          <w:szCs w:val="20"/>
          <w:lang w:eastAsia="en-US" w:bidi="en-US"/>
        </w:rPr>
        <w:t xml:space="preserve">6 </w:t>
      </w:r>
      <w:r w:rsidR="00914FE3" w:rsidRPr="008528F2">
        <w:rPr>
          <w:rFonts w:ascii="Arial" w:hAnsi="Arial" w:cs="Arial"/>
          <w:sz w:val="20"/>
          <w:szCs w:val="20"/>
        </w:rPr>
        <w:t>žádost o poskytnutí dodatečných informací</w:t>
      </w:r>
      <w:r w:rsidR="00914FE3">
        <w:rPr>
          <w:rFonts w:ascii="Arial" w:hAnsi="Arial" w:cs="Arial"/>
          <w:sz w:val="20"/>
          <w:szCs w:val="20"/>
        </w:rPr>
        <w:t xml:space="preserve"> k zadávacím podmínkám.</w:t>
      </w:r>
    </w:p>
    <w:p w:rsidR="00914FE3" w:rsidRPr="008528F2" w:rsidRDefault="00914FE3" w:rsidP="00914FE3">
      <w:pPr>
        <w:spacing w:before="120" w:after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:rsidR="00914FE3" w:rsidRPr="00AA0B6C" w:rsidRDefault="00914FE3" w:rsidP="00914FE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914FE3" w:rsidRPr="00084F54" w:rsidRDefault="00914FE3" w:rsidP="00914FE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084F54">
        <w:rPr>
          <w:rFonts w:ascii="Arial" w:hAnsi="Arial" w:cs="Arial"/>
          <w:b/>
          <w:sz w:val="20"/>
          <w:szCs w:val="20"/>
        </w:rPr>
        <w:t>Dotaz č. 1</w:t>
      </w:r>
      <w:r w:rsidRPr="00084F54">
        <w:rPr>
          <w:rFonts w:ascii="Arial" w:hAnsi="Arial" w:cs="Arial"/>
          <w:sz w:val="20"/>
          <w:szCs w:val="20"/>
        </w:rPr>
        <w:t>:</w:t>
      </w:r>
    </w:p>
    <w:p w:rsidR="00914FE3" w:rsidRPr="00100DDF" w:rsidRDefault="00E0551C" w:rsidP="00914FE3">
      <w:pPr>
        <w:pStyle w:val="Styl2"/>
        <w:spacing w:line="280" w:lineRule="atLeast"/>
      </w:pPr>
      <w:r>
        <w:t>Akceptuje z</w:t>
      </w:r>
      <w:r w:rsidR="00914FE3">
        <w:t xml:space="preserve">adavatel, aby Dodavatel prokázal splnění základních kvalifikačních předpokladů dle odst. 2 zadávací dokumentace – kvalifikační dokumentace (dále jen „ZD-KD“) a profesních kvalifikačních předpokladů dle odst. 3 ZD-KD (oprávnění k podnikání) dokladem „Výpis ze seznamu kvalifikovaných dodavatelů“ </w:t>
      </w:r>
      <w:r w:rsidR="00914FE3" w:rsidRPr="00296A21">
        <w:t>v souladu s § 127 odst. 1 zákona 137/2006 Sb. o veřejných zakázkách, v platném znění (dále jen „ZVZ“)</w:t>
      </w:r>
    </w:p>
    <w:p w:rsidR="00914FE3" w:rsidRPr="00296A21" w:rsidRDefault="00914FE3" w:rsidP="00914FE3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7169E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E0551C" w:rsidRPr="00CA540E" w:rsidRDefault="00CA540E" w:rsidP="00E0551C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100DDF">
        <w:rPr>
          <w:rFonts w:ascii="Arial" w:hAnsi="Arial" w:cs="Arial"/>
          <w:sz w:val="20"/>
          <w:szCs w:val="20"/>
        </w:rPr>
        <w:t>V</w:t>
      </w:r>
      <w:r w:rsidR="00E0551C" w:rsidRPr="00A26516">
        <w:rPr>
          <w:rFonts w:ascii="Arial" w:hAnsi="Arial" w:cs="Arial"/>
          <w:color w:val="231F20"/>
          <w:sz w:val="20"/>
          <w:szCs w:val="20"/>
        </w:rPr>
        <w:t>ýpisem ze seznamu kvalifikovaných dodavatelů může dodavatel v zadávacím řízení nahradit doklady prokazující splnění zá</w:t>
      </w:r>
      <w:r w:rsidR="00E0551C" w:rsidRPr="00C7169E">
        <w:rPr>
          <w:rFonts w:ascii="Arial" w:hAnsi="Arial" w:cs="Arial"/>
          <w:color w:val="231F20"/>
          <w:sz w:val="20"/>
          <w:szCs w:val="20"/>
        </w:rPr>
        <w:t>kladních a profesních kvalifikačních předpokladů</w:t>
      </w:r>
      <w:r w:rsidR="00560D1E" w:rsidRPr="00C7169E">
        <w:rPr>
          <w:rFonts w:ascii="Arial" w:hAnsi="Arial" w:cs="Arial"/>
          <w:color w:val="231F20"/>
          <w:sz w:val="20"/>
          <w:szCs w:val="20"/>
        </w:rPr>
        <w:t xml:space="preserve"> v rozsahu, v jakém doklady prokazující splnění</w:t>
      </w:r>
      <w:r w:rsidR="00560D1E" w:rsidRPr="00560D1E">
        <w:rPr>
          <w:rFonts w:ascii="Arial" w:hAnsi="Arial" w:cs="Arial"/>
          <w:color w:val="231F20"/>
          <w:sz w:val="20"/>
          <w:szCs w:val="20"/>
        </w:rPr>
        <w:t xml:space="preserve"> těchto profesních kvalifikačních předpokladů pokrývají požadavky veřejného zadavatele na prokázání splnění profesních kvalifikačních předpokladů pro plnění veřejné zakázky</w:t>
      </w:r>
      <w:r w:rsidR="00E0551C" w:rsidRPr="00CA540E">
        <w:rPr>
          <w:rFonts w:ascii="Arial" w:hAnsi="Arial" w:cs="Arial"/>
          <w:color w:val="231F20"/>
          <w:sz w:val="20"/>
          <w:szCs w:val="20"/>
        </w:rPr>
        <w:t>. Zadavatel tedy předložení „Výpisu ze seznamu kvalifikovaných dodavatelů“ akceptuje.</w:t>
      </w:r>
    </w:p>
    <w:p w:rsidR="00914FE3" w:rsidRDefault="00914FE3" w:rsidP="00914FE3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914FE3" w:rsidRPr="00084F54" w:rsidRDefault="00914FE3" w:rsidP="00914FE3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084F54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2</w:t>
      </w:r>
      <w:r w:rsidRPr="00084F54">
        <w:rPr>
          <w:rFonts w:ascii="Arial" w:hAnsi="Arial" w:cs="Arial"/>
          <w:sz w:val="20"/>
          <w:szCs w:val="20"/>
        </w:rPr>
        <w:t>:</w:t>
      </w:r>
    </w:p>
    <w:p w:rsidR="00914FE3" w:rsidRDefault="00914FE3" w:rsidP="00914FE3">
      <w:pPr>
        <w:pStyle w:val="Styl2"/>
        <w:spacing w:line="280" w:lineRule="atLeast"/>
      </w:pPr>
      <w:r>
        <w:t xml:space="preserve">Zadavatel požaduje v Zadávací dokumentaci (dále jen „ZD“) a návrh „Rámcové smlouvy o poskytnutí oprávnění k užití počítačových programů SAP a o poskytování služeb </w:t>
      </w:r>
      <w:proofErr w:type="spellStart"/>
      <w:r w:rsidR="00D144B8">
        <w:t>maintenance</w:t>
      </w:r>
      <w:proofErr w:type="spellEnd"/>
      <w:r>
        <w:t xml:space="preserve">“ (dále „RS“) například v článku 3. RS – služby </w:t>
      </w:r>
      <w:proofErr w:type="spellStart"/>
      <w:r w:rsidR="00D144B8">
        <w:t>maintenance</w:t>
      </w:r>
      <w:proofErr w:type="spellEnd"/>
      <w:r w:rsidR="00C2151C">
        <w:t xml:space="preserve"> </w:t>
      </w:r>
      <w:r>
        <w:t xml:space="preserve">(údržby) kategorie </w:t>
      </w:r>
      <w:proofErr w:type="spellStart"/>
      <w:r>
        <w:t>Enterprise</w:t>
      </w:r>
      <w:proofErr w:type="spellEnd"/>
      <w:r>
        <w:t xml:space="preserve"> Support. </w:t>
      </w:r>
    </w:p>
    <w:p w:rsidR="00914FE3" w:rsidRDefault="00914FE3" w:rsidP="00C04DB6">
      <w:pPr>
        <w:pStyle w:val="Styl2"/>
        <w:spacing w:after="240" w:line="280" w:lineRule="atLeast"/>
      </w:pPr>
      <w:r>
        <w:t>Zadavatel však také požaduje v </w:t>
      </w:r>
      <w:r w:rsidR="00E0551C">
        <w:t>p</w:t>
      </w:r>
      <w:r>
        <w:t xml:space="preserve">říloze </w:t>
      </w:r>
      <w:proofErr w:type="gramStart"/>
      <w:r>
        <w:t>č. 2 návrhu</w:t>
      </w:r>
      <w:proofErr w:type="gramEnd"/>
      <w:r>
        <w:t xml:space="preserve"> Rámcové smlouvy přiložit jako přílohu RS následující dokumenty:</w:t>
      </w:r>
    </w:p>
    <w:tbl>
      <w:tblPr>
        <w:tblW w:w="56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</w:tblGrid>
      <w:tr w:rsidR="00914FE3" w:rsidRPr="00530A67" w:rsidTr="00FA7F71">
        <w:trPr>
          <w:trHeight w:val="300"/>
          <w:jc w:val="center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FE3" w:rsidRPr="00C04DB6" w:rsidRDefault="00914FE3" w:rsidP="00FA7F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4DB6">
              <w:rPr>
                <w:rFonts w:ascii="Arial" w:hAnsi="Arial" w:cs="Arial"/>
                <w:color w:val="000000"/>
                <w:sz w:val="20"/>
                <w:szCs w:val="20"/>
              </w:rPr>
              <w:t>P2_Smlouvy_SAP enterprise-support-schedule-v5-2011.pdf</w:t>
            </w:r>
          </w:p>
        </w:tc>
      </w:tr>
      <w:tr w:rsidR="00914FE3" w:rsidRPr="00530A67" w:rsidTr="00FA7F71">
        <w:trPr>
          <w:trHeight w:val="300"/>
          <w:jc w:val="center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FE3" w:rsidRPr="00C04DB6" w:rsidRDefault="00914FE3" w:rsidP="00FA7F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4DB6">
              <w:rPr>
                <w:rFonts w:ascii="Arial" w:hAnsi="Arial" w:cs="Arial"/>
                <w:color w:val="000000"/>
                <w:sz w:val="20"/>
                <w:szCs w:val="20"/>
              </w:rPr>
              <w:t>P2_Smlouvy_SAP services.pdf</w:t>
            </w:r>
          </w:p>
        </w:tc>
      </w:tr>
      <w:tr w:rsidR="00914FE3" w:rsidRPr="00530A67" w:rsidTr="00FA7F71">
        <w:trPr>
          <w:trHeight w:val="300"/>
          <w:jc w:val="center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FE3" w:rsidRPr="00C04DB6" w:rsidRDefault="00914FE3" w:rsidP="00FA7F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4DB6">
              <w:rPr>
                <w:rFonts w:ascii="Arial" w:hAnsi="Arial" w:cs="Arial"/>
                <w:color w:val="000000"/>
                <w:sz w:val="20"/>
                <w:szCs w:val="20"/>
              </w:rPr>
              <w:t>P2_Smlouvy_SAP software-use-rights-v4-2016.pdf</w:t>
            </w:r>
          </w:p>
        </w:tc>
      </w:tr>
      <w:tr w:rsidR="00914FE3" w:rsidRPr="00530A67" w:rsidTr="00FA7F71">
        <w:trPr>
          <w:trHeight w:val="300"/>
          <w:jc w:val="center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FE3" w:rsidRPr="00C04DB6" w:rsidRDefault="00914FE3" w:rsidP="00FA7F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4DB6">
              <w:rPr>
                <w:rFonts w:ascii="Arial" w:hAnsi="Arial" w:cs="Arial"/>
                <w:color w:val="000000"/>
                <w:sz w:val="20"/>
                <w:szCs w:val="20"/>
              </w:rPr>
              <w:t>P2_Smlouvy_SAP standard-support-schedule-v5-2011.pdf</w:t>
            </w:r>
          </w:p>
        </w:tc>
      </w:tr>
      <w:tr w:rsidR="00914FE3" w:rsidRPr="00530A67" w:rsidTr="00FA7F71">
        <w:trPr>
          <w:trHeight w:val="300"/>
          <w:jc w:val="center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4FE3" w:rsidRPr="00C04DB6" w:rsidRDefault="00914FE3" w:rsidP="00FA7F7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4DB6">
              <w:rPr>
                <w:rFonts w:ascii="Arial" w:hAnsi="Arial" w:cs="Arial"/>
                <w:color w:val="000000"/>
                <w:sz w:val="20"/>
                <w:szCs w:val="20"/>
              </w:rPr>
              <w:t>P2_Smlouvy_SAP VOP-v4-2014.pdf</w:t>
            </w:r>
          </w:p>
        </w:tc>
      </w:tr>
    </w:tbl>
    <w:p w:rsidR="00914FE3" w:rsidRDefault="00914FE3" w:rsidP="00914FE3">
      <w:pPr>
        <w:pStyle w:val="Styl2"/>
        <w:spacing w:line="280" w:lineRule="atLeast"/>
      </w:pPr>
    </w:p>
    <w:p w:rsidR="00914FE3" w:rsidRDefault="00C04DB6" w:rsidP="00914FE3">
      <w:pPr>
        <w:pStyle w:val="Styl2"/>
        <w:spacing w:line="280" w:lineRule="atLeast"/>
        <w:rPr>
          <w:b/>
        </w:rPr>
      </w:pPr>
      <w:r>
        <w:t xml:space="preserve">Dle dikce ZD a RS předmětem plnění dle RS </w:t>
      </w:r>
      <w:r w:rsidRPr="00C04DB6">
        <w:rPr>
          <w:b/>
        </w:rPr>
        <w:t>NEJSOU:</w:t>
      </w:r>
    </w:p>
    <w:p w:rsidR="00C04DB6" w:rsidRPr="00C04DB6" w:rsidRDefault="00C04DB6" w:rsidP="00C04DB6">
      <w:pPr>
        <w:pStyle w:val="Styl2"/>
        <w:numPr>
          <w:ilvl w:val="0"/>
          <w:numId w:val="36"/>
        </w:numPr>
        <w:spacing w:line="280" w:lineRule="atLeast"/>
      </w:pPr>
      <w:r w:rsidRPr="00C04DB6">
        <w:t>poskytování údržby kategorie Standard Support (vymezeno v dokumentu: „P2_Smlouvy_SAP standard-support-schedule-v5-2011.pdf“)</w:t>
      </w:r>
    </w:p>
    <w:p w:rsidR="00C04DB6" w:rsidRPr="00C7169E" w:rsidRDefault="00C04DB6" w:rsidP="00C04DB6">
      <w:pPr>
        <w:pStyle w:val="Styl2"/>
        <w:numPr>
          <w:ilvl w:val="0"/>
          <w:numId w:val="36"/>
        </w:numPr>
        <w:spacing w:line="280" w:lineRule="atLeast"/>
      </w:pPr>
      <w:r w:rsidRPr="00C04DB6">
        <w:t xml:space="preserve">poskytování </w:t>
      </w:r>
      <w:r w:rsidRPr="003D2DE8">
        <w:t>odborných (implementačních) služeb (vymezeno v dokumentu: „P2_Smlouvy_SAP services.pdf“</w:t>
      </w:r>
    </w:p>
    <w:p w:rsidR="00914FE3" w:rsidRPr="00C7169E" w:rsidRDefault="00C04DB6" w:rsidP="00914FE3">
      <w:pPr>
        <w:pStyle w:val="Styl2"/>
        <w:spacing w:line="280" w:lineRule="atLeast"/>
      </w:pPr>
      <w:r w:rsidRPr="00C7169E">
        <w:t>Akceptuje zadavatel, aby tyto dva dokumenty citované výše obsahující ustanovení nevztahující se k předmětu plnění této zakázky a RS, byly z přílohy č. 2 RS vyňaty?</w:t>
      </w:r>
    </w:p>
    <w:p w:rsidR="005B133B" w:rsidRPr="00C7169E" w:rsidRDefault="005B133B" w:rsidP="00914FE3">
      <w:pPr>
        <w:pStyle w:val="Styl2"/>
        <w:spacing w:line="280" w:lineRule="atLeast"/>
      </w:pPr>
    </w:p>
    <w:p w:rsidR="00914FE3" w:rsidRPr="003D2DE8" w:rsidRDefault="00914FE3" w:rsidP="00914FE3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7169E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3378E" w:rsidRPr="00C7169E" w:rsidRDefault="004444CC" w:rsidP="00914FE3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 xml:space="preserve">Vzhledem k tomu, že předmětem plnění v dotčené veřejné zakázce je služba „SAP </w:t>
      </w:r>
      <w:proofErr w:type="spellStart"/>
      <w:r w:rsidRPr="00C7169E">
        <w:rPr>
          <w:rFonts w:ascii="Arial" w:hAnsi="Arial" w:cs="Arial"/>
          <w:sz w:val="20"/>
          <w:szCs w:val="20"/>
        </w:rPr>
        <w:t>Enterprise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Support“ a poskytnutí licencí SAP, ne</w:t>
      </w:r>
      <w:r w:rsidR="00B566C0" w:rsidRPr="00C7169E">
        <w:rPr>
          <w:rFonts w:ascii="Arial" w:hAnsi="Arial" w:cs="Arial"/>
          <w:sz w:val="20"/>
          <w:szCs w:val="20"/>
        </w:rPr>
        <w:t xml:space="preserve">ní přiložení </w:t>
      </w:r>
      <w:r w:rsidRPr="00C7169E">
        <w:rPr>
          <w:rFonts w:ascii="Arial" w:hAnsi="Arial" w:cs="Arial"/>
          <w:sz w:val="20"/>
          <w:szCs w:val="20"/>
        </w:rPr>
        <w:t>standardizovan</w:t>
      </w:r>
      <w:r w:rsidR="00B566C0" w:rsidRPr="00C7169E">
        <w:rPr>
          <w:rFonts w:ascii="Arial" w:hAnsi="Arial" w:cs="Arial"/>
          <w:sz w:val="20"/>
          <w:szCs w:val="20"/>
        </w:rPr>
        <w:t>ých</w:t>
      </w:r>
      <w:r w:rsidRPr="00C7169E">
        <w:rPr>
          <w:rFonts w:ascii="Arial" w:hAnsi="Arial" w:cs="Arial"/>
          <w:sz w:val="20"/>
          <w:szCs w:val="20"/>
        </w:rPr>
        <w:t xml:space="preserve"> dokument</w:t>
      </w:r>
      <w:r w:rsidR="00B566C0" w:rsidRPr="00C7169E">
        <w:rPr>
          <w:rFonts w:ascii="Arial" w:hAnsi="Arial" w:cs="Arial"/>
          <w:sz w:val="20"/>
          <w:szCs w:val="20"/>
        </w:rPr>
        <w:t>ů</w:t>
      </w:r>
      <w:r w:rsidRPr="00C7169E">
        <w:rPr>
          <w:rFonts w:ascii="Arial" w:hAnsi="Arial" w:cs="Arial"/>
          <w:sz w:val="20"/>
          <w:szCs w:val="20"/>
        </w:rPr>
        <w:t xml:space="preserve"> SAP „P2_Smlouvy_SAP standard-support-schedule-v5-2011.pdf“ a „P2_Smlouvy_SAP services.pdf“</w:t>
      </w:r>
      <w:r w:rsidR="00A347DB" w:rsidRPr="00C7169E">
        <w:rPr>
          <w:rFonts w:ascii="Arial" w:hAnsi="Arial" w:cs="Arial"/>
          <w:sz w:val="20"/>
          <w:szCs w:val="20"/>
        </w:rPr>
        <w:t xml:space="preserve">, které </w:t>
      </w:r>
      <w:r w:rsidR="00A347DB" w:rsidRPr="00C7169E">
        <w:rPr>
          <w:rFonts w:ascii="Arial" w:hAnsi="Arial" w:cs="Arial"/>
          <w:sz w:val="20"/>
          <w:szCs w:val="20"/>
        </w:rPr>
        <w:lastRenderedPageBreak/>
        <w:t>se vztahují k jiným produktům SAP, než které jsou vymezeny v předmětu veřejné zakázky, požadován</w:t>
      </w:r>
      <w:r w:rsidR="00B566C0" w:rsidRPr="00C7169E">
        <w:rPr>
          <w:rFonts w:ascii="Arial" w:hAnsi="Arial" w:cs="Arial"/>
          <w:sz w:val="20"/>
          <w:szCs w:val="20"/>
        </w:rPr>
        <w:t>o</w:t>
      </w:r>
      <w:r w:rsidR="00A347DB" w:rsidRPr="00C7169E">
        <w:rPr>
          <w:rFonts w:ascii="Arial" w:hAnsi="Arial" w:cs="Arial"/>
          <w:sz w:val="20"/>
          <w:szCs w:val="20"/>
        </w:rPr>
        <w:t xml:space="preserve">. </w:t>
      </w:r>
    </w:p>
    <w:p w:rsidR="00AA2B27" w:rsidRPr="00C7169E" w:rsidRDefault="00AA2B27" w:rsidP="00914FE3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AA2B27" w:rsidRPr="00C7169E" w:rsidRDefault="00AA2B27" w:rsidP="00914FE3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 xml:space="preserve">Do přílohy č. 2 Rámcové smlouvy budou </w:t>
      </w:r>
      <w:r w:rsidR="00B566C0" w:rsidRPr="00C7169E">
        <w:rPr>
          <w:rFonts w:ascii="Arial" w:hAnsi="Arial" w:cs="Arial"/>
          <w:sz w:val="20"/>
          <w:szCs w:val="20"/>
        </w:rPr>
        <w:t xml:space="preserve">tedy uchazeči </w:t>
      </w:r>
      <w:r w:rsidRPr="00C7169E">
        <w:rPr>
          <w:rFonts w:ascii="Arial" w:hAnsi="Arial" w:cs="Arial"/>
          <w:sz w:val="20"/>
          <w:szCs w:val="20"/>
        </w:rPr>
        <w:t>vložena pouze následující aktuální znění dokumentů, které odpovídají předmětu plnění veřejné zakázky:</w:t>
      </w:r>
    </w:p>
    <w:p w:rsidR="00AA2B27" w:rsidRPr="00C7169E" w:rsidRDefault="00AA2B27" w:rsidP="00914FE3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568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</w:tblGrid>
      <w:tr w:rsidR="00AA2B27" w:rsidRPr="00C7169E" w:rsidTr="00353D7A">
        <w:trPr>
          <w:trHeight w:val="300"/>
          <w:jc w:val="center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B27" w:rsidRPr="00C7169E" w:rsidRDefault="00AA2B27" w:rsidP="00353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169E">
              <w:rPr>
                <w:rFonts w:ascii="Arial" w:hAnsi="Arial" w:cs="Arial"/>
                <w:color w:val="000000"/>
                <w:sz w:val="20"/>
                <w:szCs w:val="20"/>
              </w:rPr>
              <w:t>P2_Smlouvy_SAP enterprise-support-schedule-v5-2011.pdf</w:t>
            </w:r>
          </w:p>
        </w:tc>
      </w:tr>
      <w:tr w:rsidR="00AA2B27" w:rsidRPr="00C7169E" w:rsidTr="00353D7A">
        <w:trPr>
          <w:trHeight w:val="300"/>
          <w:jc w:val="center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B27" w:rsidRPr="00C7169E" w:rsidRDefault="00AA2B27" w:rsidP="00353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169E">
              <w:rPr>
                <w:rFonts w:ascii="Arial" w:hAnsi="Arial" w:cs="Arial"/>
                <w:color w:val="000000"/>
                <w:sz w:val="20"/>
                <w:szCs w:val="20"/>
              </w:rPr>
              <w:t>P2_Smlouvy_SAP software-use-rights-v4-2016.pdf</w:t>
            </w:r>
          </w:p>
        </w:tc>
      </w:tr>
      <w:tr w:rsidR="00AA2B27" w:rsidRPr="00C7169E" w:rsidTr="00353D7A">
        <w:trPr>
          <w:trHeight w:val="300"/>
          <w:jc w:val="center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2B27" w:rsidRPr="00C7169E" w:rsidRDefault="00AA2B27" w:rsidP="00353D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169E">
              <w:rPr>
                <w:rFonts w:ascii="Arial" w:hAnsi="Arial" w:cs="Arial"/>
                <w:color w:val="000000"/>
                <w:sz w:val="20"/>
                <w:szCs w:val="20"/>
              </w:rPr>
              <w:t>P2_Smlouvy_SAP VOP-v4-2014.pdf</w:t>
            </w:r>
          </w:p>
        </w:tc>
      </w:tr>
    </w:tbl>
    <w:p w:rsidR="00AA2B27" w:rsidRPr="00C7169E" w:rsidRDefault="00AA2B27" w:rsidP="00914FE3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b/>
          <w:sz w:val="20"/>
          <w:szCs w:val="20"/>
        </w:rPr>
        <w:t>Dotaz č. 3</w:t>
      </w:r>
      <w:r w:rsidRPr="00C7169E">
        <w:rPr>
          <w:rFonts w:ascii="Arial" w:hAnsi="Arial" w:cs="Arial"/>
          <w:sz w:val="20"/>
          <w:szCs w:val="20"/>
        </w:rPr>
        <w:t>:</w:t>
      </w: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>Zadavatel uvedl v </w:t>
      </w:r>
      <w:r w:rsidR="00E0551C" w:rsidRPr="00C7169E">
        <w:rPr>
          <w:rFonts w:ascii="Arial" w:hAnsi="Arial" w:cs="Arial"/>
          <w:sz w:val="20"/>
          <w:szCs w:val="20"/>
        </w:rPr>
        <w:t>p</w:t>
      </w:r>
      <w:r w:rsidRPr="00C7169E">
        <w:rPr>
          <w:rFonts w:ascii="Arial" w:hAnsi="Arial" w:cs="Arial"/>
          <w:sz w:val="20"/>
          <w:szCs w:val="20"/>
        </w:rPr>
        <w:t>říloze č. 6 ZD (Tabulka pro zpracování nabídkové ceny) také blok označený jako „</w:t>
      </w:r>
      <w:r w:rsidRPr="00C7169E">
        <w:rPr>
          <w:rFonts w:ascii="Arial" w:hAnsi="Arial" w:cs="Arial"/>
          <w:b/>
          <w:sz w:val="20"/>
          <w:szCs w:val="20"/>
        </w:rPr>
        <w:t xml:space="preserve">Runtime </w:t>
      </w:r>
      <w:proofErr w:type="spellStart"/>
      <w:r w:rsidRPr="00C7169E">
        <w:rPr>
          <w:rFonts w:ascii="Arial" w:hAnsi="Arial" w:cs="Arial"/>
          <w:b/>
          <w:sz w:val="20"/>
          <w:szCs w:val="20"/>
        </w:rPr>
        <w:t>Databases</w:t>
      </w:r>
      <w:proofErr w:type="spellEnd"/>
      <w:r w:rsidRPr="00C7169E">
        <w:rPr>
          <w:rFonts w:ascii="Arial" w:hAnsi="Arial" w:cs="Arial"/>
          <w:sz w:val="20"/>
          <w:szCs w:val="20"/>
        </w:rPr>
        <w:t>“ (řádky č. 742 až 762 původní tabulky č. 6).</w:t>
      </w: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>Vzhledem k tomu, že cena licence těchto produktů se vypočítává jako % z ceny licencí (SAV nebo HSAV), není možné do sloupce „G“ doplnit ceny v absolutní hodnotě.</w:t>
      </w: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>Navrhuje</w:t>
      </w:r>
      <w:r w:rsidR="00166C51" w:rsidRPr="00C7169E">
        <w:rPr>
          <w:rFonts w:ascii="Arial" w:hAnsi="Arial" w:cs="Arial"/>
          <w:sz w:val="20"/>
          <w:szCs w:val="20"/>
        </w:rPr>
        <w:t>me</w:t>
      </w:r>
      <w:r w:rsidRPr="00C7169E">
        <w:rPr>
          <w:rFonts w:ascii="Arial" w:hAnsi="Arial" w:cs="Arial"/>
          <w:sz w:val="20"/>
          <w:szCs w:val="20"/>
        </w:rPr>
        <w:t>, aby u těchto položek zůstala jen cena vyjádřená v % z ceny licencí (SAV či HSAV), jak je uvedeno ve sloupci „E“ a sloupec „G“ u těchto položek licence vůbec nevyplňovat.</w:t>
      </w:r>
    </w:p>
    <w:p w:rsidR="00C04DB6" w:rsidRPr="003D2DE8" w:rsidRDefault="00C04DB6" w:rsidP="00C04DB6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7169E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04DB6" w:rsidRPr="00C7169E" w:rsidRDefault="001830B0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 xml:space="preserve">Zadavatel pro účely </w:t>
      </w:r>
      <w:r w:rsidR="00166C51" w:rsidRPr="00C7169E">
        <w:rPr>
          <w:rFonts w:ascii="Arial" w:hAnsi="Arial" w:cs="Arial"/>
          <w:sz w:val="20"/>
          <w:szCs w:val="20"/>
        </w:rPr>
        <w:t xml:space="preserve">použitelnosti </w:t>
      </w:r>
      <w:r w:rsidRPr="00C7169E">
        <w:rPr>
          <w:rFonts w:ascii="Arial" w:hAnsi="Arial" w:cs="Arial"/>
          <w:sz w:val="20"/>
          <w:szCs w:val="20"/>
        </w:rPr>
        <w:t>hodnotícího modelu předpokládá hodnotu licencí pro výpočet slevy ve výši 22.000.000,- Kč</w:t>
      </w:r>
    </w:p>
    <w:p w:rsidR="001830B0" w:rsidRPr="00C7169E" w:rsidRDefault="001830B0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 xml:space="preserve">Uchazeč </w:t>
      </w:r>
      <w:r w:rsidR="00166C51" w:rsidRPr="00C7169E">
        <w:rPr>
          <w:rFonts w:ascii="Arial" w:hAnsi="Arial" w:cs="Arial"/>
          <w:sz w:val="20"/>
          <w:szCs w:val="20"/>
        </w:rPr>
        <w:t xml:space="preserve">tedy </w:t>
      </w:r>
      <w:r w:rsidRPr="00C7169E">
        <w:rPr>
          <w:rFonts w:ascii="Arial" w:hAnsi="Arial" w:cs="Arial"/>
          <w:sz w:val="20"/>
          <w:szCs w:val="20"/>
        </w:rPr>
        <w:t xml:space="preserve">u </w:t>
      </w:r>
      <w:r w:rsidR="00676B29" w:rsidRPr="00C7169E">
        <w:rPr>
          <w:rFonts w:ascii="Arial" w:hAnsi="Arial" w:cs="Arial"/>
          <w:sz w:val="20"/>
          <w:szCs w:val="20"/>
        </w:rPr>
        <w:t xml:space="preserve">příslušných </w:t>
      </w:r>
      <w:r w:rsidRPr="00C7169E">
        <w:rPr>
          <w:rFonts w:ascii="Arial" w:hAnsi="Arial" w:cs="Arial"/>
          <w:sz w:val="20"/>
          <w:szCs w:val="20"/>
        </w:rPr>
        <w:t xml:space="preserve">položek </w:t>
      </w:r>
      <w:r w:rsidR="00676B29" w:rsidRPr="00C7169E">
        <w:rPr>
          <w:rFonts w:ascii="Arial" w:hAnsi="Arial" w:cs="Arial"/>
          <w:sz w:val="20"/>
          <w:szCs w:val="20"/>
        </w:rPr>
        <w:t>(nově jde o</w:t>
      </w:r>
      <w:r w:rsidRPr="00C7169E">
        <w:rPr>
          <w:rFonts w:ascii="Arial" w:hAnsi="Arial" w:cs="Arial"/>
          <w:sz w:val="20"/>
          <w:szCs w:val="20"/>
        </w:rPr>
        <w:t xml:space="preserve"> řádk</w:t>
      </w:r>
      <w:r w:rsidR="00676B29" w:rsidRPr="00C7169E">
        <w:rPr>
          <w:rFonts w:ascii="Arial" w:hAnsi="Arial" w:cs="Arial"/>
          <w:sz w:val="20"/>
          <w:szCs w:val="20"/>
        </w:rPr>
        <w:t>y č.</w:t>
      </w:r>
      <w:r w:rsidRPr="00C7169E">
        <w:rPr>
          <w:rFonts w:ascii="Arial" w:hAnsi="Arial" w:cs="Arial"/>
          <w:sz w:val="20"/>
          <w:szCs w:val="20"/>
        </w:rPr>
        <w:t xml:space="preserve"> 7</w:t>
      </w:r>
      <w:r w:rsidR="00676B29" w:rsidRPr="00C7169E">
        <w:rPr>
          <w:rFonts w:ascii="Arial" w:hAnsi="Arial" w:cs="Arial"/>
          <w:sz w:val="20"/>
          <w:szCs w:val="20"/>
        </w:rPr>
        <w:t>5</w:t>
      </w:r>
      <w:r w:rsidRPr="00C7169E">
        <w:rPr>
          <w:rFonts w:ascii="Arial" w:hAnsi="Arial" w:cs="Arial"/>
          <w:sz w:val="20"/>
          <w:szCs w:val="20"/>
        </w:rPr>
        <w:t>4 – 7</w:t>
      </w:r>
      <w:r w:rsidR="00676B29" w:rsidRPr="00C7169E">
        <w:rPr>
          <w:rFonts w:ascii="Arial" w:hAnsi="Arial" w:cs="Arial"/>
          <w:sz w:val="20"/>
          <w:szCs w:val="20"/>
        </w:rPr>
        <w:t>73)</w:t>
      </w:r>
      <w:r w:rsidRPr="00C7169E">
        <w:rPr>
          <w:rFonts w:ascii="Arial" w:hAnsi="Arial" w:cs="Arial"/>
          <w:sz w:val="20"/>
          <w:szCs w:val="20"/>
        </w:rPr>
        <w:t xml:space="preserve"> doplní </w:t>
      </w:r>
      <w:r w:rsidR="00676B29" w:rsidRPr="00C7169E">
        <w:rPr>
          <w:rFonts w:ascii="Arial" w:hAnsi="Arial" w:cs="Arial"/>
          <w:sz w:val="20"/>
          <w:szCs w:val="20"/>
        </w:rPr>
        <w:t xml:space="preserve">do sloupce G </w:t>
      </w:r>
      <w:r w:rsidR="005B133B" w:rsidRPr="00C7169E">
        <w:rPr>
          <w:rFonts w:ascii="Arial" w:hAnsi="Arial" w:cs="Arial"/>
          <w:sz w:val="20"/>
          <w:szCs w:val="20"/>
        </w:rPr>
        <w:t>nabídkovou cenu za položky, která bude vyjádřen</w:t>
      </w:r>
      <w:r w:rsidR="00676B29" w:rsidRPr="00C7169E">
        <w:rPr>
          <w:rFonts w:ascii="Arial" w:hAnsi="Arial" w:cs="Arial"/>
          <w:sz w:val="20"/>
          <w:szCs w:val="20"/>
        </w:rPr>
        <w:t>á</w:t>
      </w:r>
      <w:r w:rsidR="005B133B" w:rsidRPr="00C7169E">
        <w:rPr>
          <w:rFonts w:ascii="Arial" w:hAnsi="Arial" w:cs="Arial"/>
          <w:sz w:val="20"/>
          <w:szCs w:val="20"/>
        </w:rPr>
        <w:t xml:space="preserve"> v % z ceny licencí (SAV či HSAV). Pro úče</w:t>
      </w:r>
      <w:r w:rsidR="00996B72" w:rsidRPr="00C7169E">
        <w:rPr>
          <w:rFonts w:ascii="Arial" w:hAnsi="Arial" w:cs="Arial"/>
          <w:sz w:val="20"/>
          <w:szCs w:val="20"/>
        </w:rPr>
        <w:t xml:space="preserve">ly hodnocení tak bude určena </w:t>
      </w:r>
      <w:r w:rsidR="005B133B" w:rsidRPr="00C7169E">
        <w:rPr>
          <w:rFonts w:ascii="Arial" w:hAnsi="Arial" w:cs="Arial"/>
          <w:sz w:val="20"/>
          <w:szCs w:val="20"/>
        </w:rPr>
        <w:t>nabídková cena za tyto položky</w:t>
      </w:r>
      <w:r w:rsidR="00996B72" w:rsidRPr="00C7169E">
        <w:rPr>
          <w:rFonts w:ascii="Arial" w:hAnsi="Arial" w:cs="Arial"/>
          <w:sz w:val="20"/>
          <w:szCs w:val="20"/>
        </w:rPr>
        <w:t xml:space="preserve"> výše uvedeným způsobem</w:t>
      </w:r>
      <w:r w:rsidR="00676B29" w:rsidRPr="00C7169E">
        <w:rPr>
          <w:rFonts w:ascii="Arial" w:hAnsi="Arial" w:cs="Arial"/>
          <w:sz w:val="20"/>
          <w:szCs w:val="20"/>
        </w:rPr>
        <w:t xml:space="preserve"> – zobrazí se ve sloupci H</w:t>
      </w:r>
      <w:r w:rsidR="005B133B" w:rsidRPr="00C7169E">
        <w:rPr>
          <w:rFonts w:ascii="Arial" w:hAnsi="Arial" w:cs="Arial"/>
          <w:sz w:val="20"/>
          <w:szCs w:val="20"/>
        </w:rPr>
        <w:t xml:space="preserve">. </w:t>
      </w:r>
    </w:p>
    <w:p w:rsidR="00996B72" w:rsidRPr="00C7169E" w:rsidRDefault="00996B72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b/>
          <w:sz w:val="20"/>
          <w:szCs w:val="20"/>
        </w:rPr>
        <w:t>Dotaz č. 4</w:t>
      </w:r>
      <w:r w:rsidRPr="00C7169E">
        <w:rPr>
          <w:rFonts w:ascii="Arial" w:hAnsi="Arial" w:cs="Arial"/>
          <w:sz w:val="20"/>
          <w:szCs w:val="20"/>
        </w:rPr>
        <w:t>:</w:t>
      </w: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>Zadavatel uvedl v </w:t>
      </w:r>
      <w:r w:rsidR="00E0551C" w:rsidRPr="00C7169E">
        <w:rPr>
          <w:rFonts w:ascii="Arial" w:hAnsi="Arial" w:cs="Arial"/>
          <w:sz w:val="20"/>
          <w:szCs w:val="20"/>
        </w:rPr>
        <w:t>p</w:t>
      </w:r>
      <w:r w:rsidRPr="00C7169E">
        <w:rPr>
          <w:rFonts w:ascii="Arial" w:hAnsi="Arial" w:cs="Arial"/>
          <w:sz w:val="20"/>
          <w:szCs w:val="20"/>
        </w:rPr>
        <w:t>říloze č. 6 ZD (Tabulka pro zpracování nabídkové ceny) také bloky označené jako „</w:t>
      </w:r>
      <w:r w:rsidRPr="00C7169E">
        <w:rPr>
          <w:rFonts w:ascii="Arial" w:hAnsi="Arial" w:cs="Arial"/>
          <w:b/>
          <w:sz w:val="20"/>
          <w:szCs w:val="20"/>
        </w:rPr>
        <w:t xml:space="preserve">Support </w:t>
      </w:r>
      <w:proofErr w:type="spellStart"/>
      <w:r w:rsidRPr="00C7169E">
        <w:rPr>
          <w:rFonts w:ascii="Arial" w:hAnsi="Arial" w:cs="Arial"/>
          <w:b/>
          <w:sz w:val="20"/>
          <w:szCs w:val="20"/>
        </w:rPr>
        <w:t>Offering</w:t>
      </w:r>
      <w:proofErr w:type="spellEnd"/>
      <w:r w:rsidRPr="00C7169E">
        <w:rPr>
          <w:rFonts w:ascii="Arial" w:hAnsi="Arial" w:cs="Arial"/>
          <w:sz w:val="20"/>
          <w:szCs w:val="20"/>
        </w:rPr>
        <w:t>“.</w:t>
      </w: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>Vzhledem k tomu, že SAP některé z těchto služeb neposkytuje v České republice, žádáme zadavatele o vypuštěný řádek 993-1002 a 1061-1065 z tabulky v </w:t>
      </w:r>
      <w:r w:rsidR="00E0551C" w:rsidRPr="00C7169E">
        <w:rPr>
          <w:rFonts w:ascii="Arial" w:hAnsi="Arial" w:cs="Arial"/>
          <w:sz w:val="20"/>
          <w:szCs w:val="20"/>
        </w:rPr>
        <w:t>p</w:t>
      </w:r>
      <w:r w:rsidRPr="00C7169E">
        <w:rPr>
          <w:rFonts w:ascii="Arial" w:hAnsi="Arial" w:cs="Arial"/>
          <w:sz w:val="20"/>
          <w:szCs w:val="20"/>
        </w:rPr>
        <w:t>říloze č. 6.</w:t>
      </w: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>V případě řádků č. 990-992 téže tabulky je cena definovaná procenty z ceny licencí, takže není možné do sloupce „G“ doplnit výši ceny v absolutní hodnotě. Navrhujeme, aby u těchto položek zůstala jen cena vyjádřena v % z ceny licencí, jak je uvedeno ve sloupci „E“ a sloupec „G“ u těchto položek licence nevyplňovat.</w:t>
      </w:r>
    </w:p>
    <w:p w:rsidR="00C04DB6" w:rsidRPr="003D2DE8" w:rsidRDefault="00C04DB6" w:rsidP="00A55AEB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7169E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04DB6" w:rsidRPr="00C7169E" w:rsidRDefault="00785DF5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 xml:space="preserve">Zadavatel v rámci vymezení předmětu plnění požaduje služby </w:t>
      </w:r>
      <w:proofErr w:type="spellStart"/>
      <w:r w:rsidRPr="00C7169E">
        <w:rPr>
          <w:rFonts w:ascii="Arial" w:hAnsi="Arial" w:cs="Arial"/>
          <w:sz w:val="20"/>
          <w:szCs w:val="20"/>
        </w:rPr>
        <w:t>maintenance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odpovídající produktu „SAP </w:t>
      </w:r>
      <w:proofErr w:type="spellStart"/>
      <w:r w:rsidRPr="00C7169E">
        <w:rPr>
          <w:rFonts w:ascii="Arial" w:hAnsi="Arial" w:cs="Arial"/>
          <w:sz w:val="20"/>
          <w:szCs w:val="20"/>
        </w:rPr>
        <w:t>Enterprise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Support“. S ohledem na požadavek zadavatele </w:t>
      </w:r>
      <w:r w:rsidR="004444CC" w:rsidRPr="00C7169E">
        <w:rPr>
          <w:rFonts w:ascii="Arial" w:hAnsi="Arial" w:cs="Arial"/>
          <w:sz w:val="20"/>
          <w:szCs w:val="20"/>
        </w:rPr>
        <w:t xml:space="preserve">na tento produkt, který je hodnocen jako </w:t>
      </w:r>
      <w:r w:rsidR="00100DDF" w:rsidRPr="00C7169E">
        <w:rPr>
          <w:rFonts w:ascii="Arial" w:hAnsi="Arial" w:cs="Arial"/>
          <w:sz w:val="20"/>
          <w:szCs w:val="20"/>
        </w:rPr>
        <w:t xml:space="preserve">samostatné dílčí </w:t>
      </w:r>
      <w:r w:rsidR="004444CC" w:rsidRPr="00C7169E">
        <w:rPr>
          <w:rFonts w:ascii="Arial" w:hAnsi="Arial" w:cs="Arial"/>
          <w:sz w:val="20"/>
          <w:szCs w:val="20"/>
        </w:rPr>
        <w:t xml:space="preserve">hodnotící kritérium „C – nabídková cena </w:t>
      </w:r>
      <w:proofErr w:type="spellStart"/>
      <w:r w:rsidR="004444CC" w:rsidRPr="00C7169E">
        <w:rPr>
          <w:rFonts w:ascii="Arial" w:hAnsi="Arial" w:cs="Arial"/>
          <w:sz w:val="20"/>
          <w:szCs w:val="20"/>
        </w:rPr>
        <w:t>maintenance</w:t>
      </w:r>
      <w:proofErr w:type="spellEnd"/>
      <w:r w:rsidR="004444CC" w:rsidRPr="00C7169E">
        <w:rPr>
          <w:rFonts w:ascii="Arial" w:hAnsi="Arial" w:cs="Arial"/>
          <w:sz w:val="20"/>
          <w:szCs w:val="20"/>
        </w:rPr>
        <w:t>“, zadavatel z modelu p</w:t>
      </w:r>
      <w:r w:rsidR="00A43573" w:rsidRPr="00C7169E">
        <w:rPr>
          <w:rFonts w:ascii="Arial" w:hAnsi="Arial" w:cs="Arial"/>
          <w:sz w:val="20"/>
          <w:szCs w:val="20"/>
        </w:rPr>
        <w:t>r</w:t>
      </w:r>
      <w:r w:rsidR="004444CC" w:rsidRPr="00C7169E">
        <w:rPr>
          <w:rFonts w:ascii="Arial" w:hAnsi="Arial" w:cs="Arial"/>
          <w:sz w:val="20"/>
          <w:szCs w:val="20"/>
        </w:rPr>
        <w:t xml:space="preserve">o hodnocení zcela vypouští řádky 989 – 1002, </w:t>
      </w:r>
      <w:r w:rsidR="00100DDF" w:rsidRPr="00C7169E">
        <w:rPr>
          <w:rFonts w:ascii="Arial" w:hAnsi="Arial" w:cs="Arial"/>
          <w:sz w:val="20"/>
          <w:szCs w:val="20"/>
        </w:rPr>
        <w:t>tedy celý blok „</w:t>
      </w:r>
      <w:r w:rsidR="00100DDF" w:rsidRPr="00C7169E">
        <w:rPr>
          <w:rFonts w:ascii="Arial" w:hAnsi="Arial" w:cs="Arial"/>
          <w:b/>
          <w:sz w:val="20"/>
          <w:szCs w:val="20"/>
        </w:rPr>
        <w:t xml:space="preserve">Support </w:t>
      </w:r>
      <w:proofErr w:type="spellStart"/>
      <w:r w:rsidR="00100DDF" w:rsidRPr="00C7169E">
        <w:rPr>
          <w:rFonts w:ascii="Arial" w:hAnsi="Arial" w:cs="Arial"/>
          <w:b/>
          <w:sz w:val="20"/>
          <w:szCs w:val="20"/>
        </w:rPr>
        <w:t>Offerings</w:t>
      </w:r>
      <w:proofErr w:type="spellEnd"/>
      <w:r w:rsidR="00100DDF" w:rsidRPr="00C7169E">
        <w:rPr>
          <w:rFonts w:ascii="Arial" w:hAnsi="Arial" w:cs="Arial"/>
          <w:sz w:val="20"/>
          <w:szCs w:val="20"/>
        </w:rPr>
        <w:t xml:space="preserve">“, </w:t>
      </w:r>
      <w:r w:rsidR="004444CC" w:rsidRPr="00C7169E">
        <w:rPr>
          <w:rFonts w:ascii="Arial" w:hAnsi="Arial" w:cs="Arial"/>
          <w:sz w:val="20"/>
          <w:szCs w:val="20"/>
        </w:rPr>
        <w:t>neboť t</w:t>
      </w:r>
      <w:r w:rsidR="00100DDF" w:rsidRPr="00C7169E">
        <w:rPr>
          <w:rFonts w:ascii="Arial" w:hAnsi="Arial" w:cs="Arial"/>
          <w:sz w:val="20"/>
          <w:szCs w:val="20"/>
        </w:rPr>
        <w:t>en</w:t>
      </w:r>
      <w:r w:rsidR="004444CC" w:rsidRPr="00C7169E">
        <w:rPr>
          <w:rFonts w:ascii="Arial" w:hAnsi="Arial" w:cs="Arial"/>
          <w:sz w:val="20"/>
          <w:szCs w:val="20"/>
        </w:rPr>
        <w:t xml:space="preserve"> obsahuj</w:t>
      </w:r>
      <w:r w:rsidR="00100DDF" w:rsidRPr="00C7169E">
        <w:rPr>
          <w:rFonts w:ascii="Arial" w:hAnsi="Arial" w:cs="Arial"/>
          <w:sz w:val="20"/>
          <w:szCs w:val="20"/>
        </w:rPr>
        <w:t>e</w:t>
      </w:r>
      <w:r w:rsidR="004444CC" w:rsidRPr="00C7169E">
        <w:rPr>
          <w:rFonts w:ascii="Arial" w:hAnsi="Arial" w:cs="Arial"/>
          <w:sz w:val="20"/>
          <w:szCs w:val="20"/>
        </w:rPr>
        <w:t xml:space="preserve"> </w:t>
      </w:r>
      <w:r w:rsidR="00100DDF" w:rsidRPr="00C7169E">
        <w:rPr>
          <w:rFonts w:ascii="Arial" w:hAnsi="Arial" w:cs="Arial"/>
          <w:sz w:val="20"/>
          <w:szCs w:val="20"/>
        </w:rPr>
        <w:t xml:space="preserve">pouze </w:t>
      </w:r>
      <w:r w:rsidR="004444CC" w:rsidRPr="00C7169E">
        <w:rPr>
          <w:rFonts w:ascii="Arial" w:hAnsi="Arial" w:cs="Arial"/>
          <w:sz w:val="20"/>
          <w:szCs w:val="20"/>
        </w:rPr>
        <w:t>položky, které nejsou předmětem zadání</w:t>
      </w:r>
      <w:r w:rsidR="00100DDF" w:rsidRPr="00C7169E">
        <w:rPr>
          <w:rFonts w:ascii="Arial" w:hAnsi="Arial" w:cs="Arial"/>
          <w:sz w:val="20"/>
          <w:szCs w:val="20"/>
        </w:rPr>
        <w:t xml:space="preserve">, nebo jejichž hodnocení již je obsaženo v samostatném dílčím hodnotícím kritériu „C – nabídková cena </w:t>
      </w:r>
      <w:proofErr w:type="spellStart"/>
      <w:r w:rsidR="00100DDF" w:rsidRPr="00C7169E">
        <w:rPr>
          <w:rFonts w:ascii="Arial" w:hAnsi="Arial" w:cs="Arial"/>
          <w:sz w:val="20"/>
          <w:szCs w:val="20"/>
        </w:rPr>
        <w:t>maintenance</w:t>
      </w:r>
      <w:proofErr w:type="spellEnd"/>
      <w:r w:rsidR="00100DDF" w:rsidRPr="00C7169E">
        <w:rPr>
          <w:rFonts w:ascii="Arial" w:hAnsi="Arial" w:cs="Arial"/>
          <w:sz w:val="20"/>
          <w:szCs w:val="20"/>
        </w:rPr>
        <w:t>“</w:t>
      </w:r>
      <w:r w:rsidR="004444CC" w:rsidRPr="00C7169E">
        <w:rPr>
          <w:rFonts w:ascii="Arial" w:hAnsi="Arial" w:cs="Arial"/>
          <w:sz w:val="20"/>
          <w:szCs w:val="20"/>
        </w:rPr>
        <w:t xml:space="preserve">. </w:t>
      </w:r>
    </w:p>
    <w:p w:rsidR="00A43573" w:rsidRDefault="00A43573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844D69" w:rsidRPr="00C7169E" w:rsidRDefault="00844D69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b/>
          <w:sz w:val="20"/>
          <w:szCs w:val="20"/>
        </w:rPr>
        <w:lastRenderedPageBreak/>
        <w:t>Dotaz č. 5</w:t>
      </w:r>
      <w:r w:rsidRPr="00C7169E">
        <w:rPr>
          <w:rFonts w:ascii="Arial" w:hAnsi="Arial" w:cs="Arial"/>
          <w:sz w:val="20"/>
          <w:szCs w:val="20"/>
        </w:rPr>
        <w:t>:</w:t>
      </w:r>
    </w:p>
    <w:p w:rsidR="00C04DB6" w:rsidRPr="00C7169E" w:rsidRDefault="00C04DB6" w:rsidP="00C04DB6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>Zadavatel uvedl v </w:t>
      </w:r>
      <w:r w:rsidR="00E0551C" w:rsidRPr="00C7169E">
        <w:rPr>
          <w:rFonts w:ascii="Arial" w:hAnsi="Arial" w:cs="Arial"/>
          <w:sz w:val="20"/>
          <w:szCs w:val="20"/>
        </w:rPr>
        <w:t>p</w:t>
      </w:r>
      <w:r w:rsidRPr="00C7169E">
        <w:rPr>
          <w:rFonts w:ascii="Arial" w:hAnsi="Arial" w:cs="Arial"/>
          <w:sz w:val="20"/>
          <w:szCs w:val="20"/>
        </w:rPr>
        <w:t>říloze č. 6 ZD (Tabulka pro zpracování nabídkové ceny) také bloky označené jako:</w:t>
      </w:r>
    </w:p>
    <w:p w:rsidR="00C04DB6" w:rsidRPr="00C7169E" w:rsidRDefault="00C04DB6" w:rsidP="00A55AEB">
      <w:pPr>
        <w:pStyle w:val="Odstavecseseznamem"/>
        <w:numPr>
          <w:ilvl w:val="0"/>
          <w:numId w:val="37"/>
        </w:num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 xml:space="preserve">„SAP </w:t>
      </w:r>
      <w:proofErr w:type="spellStart"/>
      <w:r w:rsidRPr="00C7169E">
        <w:rPr>
          <w:rFonts w:ascii="Arial" w:hAnsi="Arial" w:cs="Arial"/>
          <w:sz w:val="20"/>
          <w:szCs w:val="20"/>
        </w:rPr>
        <w:t>Cloud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169E">
        <w:rPr>
          <w:rFonts w:ascii="Arial" w:hAnsi="Arial" w:cs="Arial"/>
          <w:sz w:val="20"/>
          <w:szCs w:val="20"/>
        </w:rPr>
        <w:t>Applications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and Technology </w:t>
      </w:r>
      <w:proofErr w:type="spellStart"/>
      <w:r w:rsidRPr="00C7169E">
        <w:rPr>
          <w:rFonts w:ascii="Arial" w:hAnsi="Arial" w:cs="Arial"/>
          <w:sz w:val="20"/>
          <w:szCs w:val="20"/>
        </w:rPr>
        <w:t>Solutions</w:t>
      </w:r>
      <w:proofErr w:type="spellEnd"/>
      <w:r w:rsidRPr="00C7169E">
        <w:rPr>
          <w:rFonts w:ascii="Arial" w:hAnsi="Arial" w:cs="Arial"/>
          <w:sz w:val="20"/>
          <w:szCs w:val="20"/>
        </w:rPr>
        <w:t>“ (řádky č. 1102 až 2124),</w:t>
      </w:r>
    </w:p>
    <w:p w:rsidR="00A55AEB" w:rsidRPr="00C7169E" w:rsidRDefault="00A55AEB" w:rsidP="00A55AEB">
      <w:pPr>
        <w:pStyle w:val="Odstavecseseznamem"/>
        <w:numPr>
          <w:ilvl w:val="0"/>
          <w:numId w:val="37"/>
        </w:num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 xml:space="preserve">„S/4 HANA </w:t>
      </w:r>
      <w:proofErr w:type="spellStart"/>
      <w:r w:rsidRPr="00C7169E">
        <w:rPr>
          <w:rFonts w:ascii="Arial" w:hAnsi="Arial" w:cs="Arial"/>
          <w:sz w:val="20"/>
          <w:szCs w:val="20"/>
        </w:rPr>
        <w:t>Cloud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169E">
        <w:rPr>
          <w:rFonts w:ascii="Arial" w:hAnsi="Arial" w:cs="Arial"/>
          <w:sz w:val="20"/>
          <w:szCs w:val="20"/>
        </w:rPr>
        <w:t>Solutions</w:t>
      </w:r>
      <w:proofErr w:type="spellEnd"/>
      <w:r w:rsidRPr="00C7169E">
        <w:rPr>
          <w:rFonts w:ascii="Arial" w:hAnsi="Arial" w:cs="Arial"/>
          <w:sz w:val="20"/>
          <w:szCs w:val="20"/>
        </w:rPr>
        <w:t>“ (řádky č. 2224 až 2346).</w:t>
      </w:r>
    </w:p>
    <w:p w:rsidR="00A55AEB" w:rsidRPr="00C7169E" w:rsidRDefault="00A55AEB" w:rsidP="00A55AEB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7169E">
        <w:rPr>
          <w:rFonts w:ascii="Arial" w:hAnsi="Arial" w:cs="Arial"/>
          <w:sz w:val="20"/>
          <w:szCs w:val="20"/>
        </w:rPr>
        <w:t xml:space="preserve">Vzhledem k tomu, že zadavatel nepožaduje v ZD a návrhu RS jako plnění poskytování </w:t>
      </w:r>
      <w:proofErr w:type="spellStart"/>
      <w:r w:rsidRPr="00C7169E">
        <w:rPr>
          <w:rFonts w:ascii="Arial" w:hAnsi="Arial" w:cs="Arial"/>
          <w:sz w:val="20"/>
          <w:szCs w:val="20"/>
        </w:rPr>
        <w:t>cloudových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služeb, žádáme zadavatele o vypuštění tohoto bloku „SAP </w:t>
      </w:r>
      <w:proofErr w:type="spellStart"/>
      <w:r w:rsidRPr="00C7169E">
        <w:rPr>
          <w:rFonts w:ascii="Arial" w:hAnsi="Arial" w:cs="Arial"/>
          <w:sz w:val="20"/>
          <w:szCs w:val="20"/>
        </w:rPr>
        <w:t>Cloud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169E">
        <w:rPr>
          <w:rFonts w:ascii="Arial" w:hAnsi="Arial" w:cs="Arial"/>
          <w:sz w:val="20"/>
          <w:szCs w:val="20"/>
        </w:rPr>
        <w:t>Applications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and Technology </w:t>
      </w:r>
      <w:proofErr w:type="spellStart"/>
      <w:r w:rsidRPr="00C7169E">
        <w:rPr>
          <w:rFonts w:ascii="Arial" w:hAnsi="Arial" w:cs="Arial"/>
          <w:sz w:val="20"/>
          <w:szCs w:val="20"/>
        </w:rPr>
        <w:t>Solutions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“ a bloku „S/4 HANA </w:t>
      </w:r>
      <w:proofErr w:type="spellStart"/>
      <w:r w:rsidRPr="00C7169E">
        <w:rPr>
          <w:rFonts w:ascii="Arial" w:hAnsi="Arial" w:cs="Arial"/>
          <w:sz w:val="20"/>
          <w:szCs w:val="20"/>
        </w:rPr>
        <w:t>Cloud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169E">
        <w:rPr>
          <w:rFonts w:ascii="Arial" w:hAnsi="Arial" w:cs="Arial"/>
          <w:sz w:val="20"/>
          <w:szCs w:val="20"/>
        </w:rPr>
        <w:t>Solutions</w:t>
      </w:r>
      <w:proofErr w:type="spellEnd"/>
      <w:r w:rsidRPr="00C7169E">
        <w:rPr>
          <w:rFonts w:ascii="Arial" w:hAnsi="Arial" w:cs="Arial"/>
          <w:sz w:val="20"/>
          <w:szCs w:val="20"/>
        </w:rPr>
        <w:t>“ z tabulky v </w:t>
      </w:r>
      <w:r w:rsidR="00E0551C" w:rsidRPr="00C7169E">
        <w:rPr>
          <w:rFonts w:ascii="Arial" w:hAnsi="Arial" w:cs="Arial"/>
          <w:sz w:val="20"/>
          <w:szCs w:val="20"/>
        </w:rPr>
        <w:t>p</w:t>
      </w:r>
      <w:r w:rsidRPr="00C7169E">
        <w:rPr>
          <w:rFonts w:ascii="Arial" w:hAnsi="Arial" w:cs="Arial"/>
          <w:sz w:val="20"/>
          <w:szCs w:val="20"/>
        </w:rPr>
        <w:t xml:space="preserve">říloze č. 6 z důvodů </w:t>
      </w:r>
      <w:proofErr w:type="spellStart"/>
      <w:r w:rsidRPr="00C7169E">
        <w:rPr>
          <w:rFonts w:ascii="Arial" w:hAnsi="Arial" w:cs="Arial"/>
          <w:sz w:val="20"/>
          <w:szCs w:val="20"/>
        </w:rPr>
        <w:t>ne</w:t>
      </w:r>
      <w:r w:rsidR="000C5F1A" w:rsidRPr="00C7169E">
        <w:rPr>
          <w:rFonts w:ascii="Arial" w:hAnsi="Arial" w:cs="Arial"/>
          <w:sz w:val="20"/>
          <w:szCs w:val="20"/>
        </w:rPr>
        <w:t>relevantnosti</w:t>
      </w:r>
      <w:proofErr w:type="spellEnd"/>
      <w:r w:rsidR="000C5F1A" w:rsidRPr="00C7169E">
        <w:rPr>
          <w:rFonts w:ascii="Arial" w:hAnsi="Arial" w:cs="Arial"/>
          <w:sz w:val="20"/>
          <w:szCs w:val="20"/>
        </w:rPr>
        <w:t xml:space="preserve"> k předmětu plnění</w:t>
      </w:r>
      <w:r w:rsidRPr="00C7169E">
        <w:rPr>
          <w:rFonts w:ascii="Arial" w:hAnsi="Arial" w:cs="Arial"/>
          <w:sz w:val="20"/>
          <w:szCs w:val="20"/>
        </w:rPr>
        <w:t>.</w:t>
      </w:r>
    </w:p>
    <w:p w:rsidR="00A55AEB" w:rsidRPr="003D2DE8" w:rsidRDefault="00A55AEB" w:rsidP="00A55AEB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7169E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00DDF" w:rsidRDefault="005B133B" w:rsidP="00100DDF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proofErr w:type="spellStart"/>
      <w:r w:rsidRPr="0085237B">
        <w:rPr>
          <w:rFonts w:ascii="Arial" w:hAnsi="Arial" w:cs="Arial"/>
          <w:sz w:val="20"/>
          <w:szCs w:val="20"/>
        </w:rPr>
        <w:t>Cl</w:t>
      </w:r>
      <w:r w:rsidR="00100DDF" w:rsidRPr="0085237B">
        <w:rPr>
          <w:rFonts w:ascii="Arial" w:hAnsi="Arial" w:cs="Arial"/>
          <w:sz w:val="20"/>
          <w:szCs w:val="20"/>
        </w:rPr>
        <w:t>o</w:t>
      </w:r>
      <w:r w:rsidRPr="00C7169E">
        <w:rPr>
          <w:rFonts w:ascii="Arial" w:hAnsi="Arial" w:cs="Arial"/>
          <w:sz w:val="20"/>
          <w:szCs w:val="20"/>
        </w:rPr>
        <w:t>udové</w:t>
      </w:r>
      <w:proofErr w:type="spellEnd"/>
      <w:r w:rsidRPr="00C7169E">
        <w:rPr>
          <w:rFonts w:ascii="Arial" w:hAnsi="Arial" w:cs="Arial"/>
          <w:sz w:val="20"/>
          <w:szCs w:val="20"/>
        </w:rPr>
        <w:t xml:space="preserve"> služby SAP </w:t>
      </w:r>
      <w:r w:rsidR="00100DDF" w:rsidRPr="00C7169E">
        <w:rPr>
          <w:rFonts w:ascii="Arial" w:hAnsi="Arial" w:cs="Arial"/>
          <w:sz w:val="20"/>
          <w:szCs w:val="20"/>
        </w:rPr>
        <w:t xml:space="preserve">skutečně </w:t>
      </w:r>
      <w:r w:rsidRPr="00C7169E">
        <w:rPr>
          <w:rFonts w:ascii="Arial" w:hAnsi="Arial" w:cs="Arial"/>
          <w:sz w:val="20"/>
          <w:szCs w:val="20"/>
        </w:rPr>
        <w:t xml:space="preserve">nejsou předmětem veřejné zakázky, pročež zadavatel </w:t>
      </w:r>
      <w:proofErr w:type="gramStart"/>
      <w:r w:rsidRPr="00C7169E">
        <w:rPr>
          <w:rFonts w:ascii="Arial" w:hAnsi="Arial" w:cs="Arial"/>
          <w:sz w:val="20"/>
          <w:szCs w:val="20"/>
        </w:rPr>
        <w:t>prov</w:t>
      </w:r>
      <w:r w:rsidR="00100DDF" w:rsidRPr="00C7169E">
        <w:rPr>
          <w:rFonts w:ascii="Arial" w:hAnsi="Arial" w:cs="Arial"/>
          <w:sz w:val="20"/>
          <w:szCs w:val="20"/>
        </w:rPr>
        <w:t xml:space="preserve">ádí </w:t>
      </w:r>
      <w:r w:rsidRPr="00C7169E">
        <w:rPr>
          <w:rFonts w:ascii="Arial" w:hAnsi="Arial" w:cs="Arial"/>
          <w:sz w:val="20"/>
          <w:szCs w:val="20"/>
        </w:rPr>
        <w:t xml:space="preserve"> úpravu</w:t>
      </w:r>
      <w:proofErr w:type="gramEnd"/>
      <w:r w:rsidRPr="00C7169E">
        <w:rPr>
          <w:rFonts w:ascii="Arial" w:hAnsi="Arial" w:cs="Arial"/>
          <w:sz w:val="20"/>
          <w:szCs w:val="20"/>
        </w:rPr>
        <w:t xml:space="preserve"> hodnotící tabulky tak, aby</w:t>
      </w:r>
      <w:r w:rsidRPr="0010345A">
        <w:rPr>
          <w:rFonts w:ascii="Arial" w:hAnsi="Arial" w:cs="Arial"/>
          <w:sz w:val="20"/>
          <w:szCs w:val="20"/>
        </w:rPr>
        <w:t xml:space="preserve"> odpovídala této skutečnosti</w:t>
      </w:r>
      <w:r w:rsidR="00100DDF">
        <w:rPr>
          <w:rFonts w:ascii="Arial" w:hAnsi="Arial" w:cs="Arial"/>
          <w:sz w:val="20"/>
          <w:szCs w:val="20"/>
        </w:rPr>
        <w:t>, tedy neobsahovala bloky označené jako:</w:t>
      </w:r>
    </w:p>
    <w:p w:rsidR="00100DDF" w:rsidRPr="00A55AEB" w:rsidRDefault="00100DDF" w:rsidP="00100DDF">
      <w:pPr>
        <w:pStyle w:val="Odstavecseseznamem"/>
        <w:numPr>
          <w:ilvl w:val="0"/>
          <w:numId w:val="37"/>
        </w:num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A55AEB">
        <w:rPr>
          <w:rFonts w:ascii="Arial" w:hAnsi="Arial" w:cs="Arial"/>
          <w:sz w:val="20"/>
          <w:szCs w:val="20"/>
        </w:rPr>
        <w:t xml:space="preserve">„SAP </w:t>
      </w:r>
      <w:proofErr w:type="spellStart"/>
      <w:r w:rsidRPr="00A55AEB">
        <w:rPr>
          <w:rFonts w:ascii="Arial" w:hAnsi="Arial" w:cs="Arial"/>
          <w:sz w:val="20"/>
          <w:szCs w:val="20"/>
        </w:rPr>
        <w:t>Cloud</w:t>
      </w:r>
      <w:proofErr w:type="spellEnd"/>
      <w:r w:rsidRPr="00A55A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AEB">
        <w:rPr>
          <w:rFonts w:ascii="Arial" w:hAnsi="Arial" w:cs="Arial"/>
          <w:sz w:val="20"/>
          <w:szCs w:val="20"/>
        </w:rPr>
        <w:t>Applications</w:t>
      </w:r>
      <w:proofErr w:type="spellEnd"/>
      <w:r w:rsidRPr="00A55AEB">
        <w:rPr>
          <w:rFonts w:ascii="Arial" w:hAnsi="Arial" w:cs="Arial"/>
          <w:sz w:val="20"/>
          <w:szCs w:val="20"/>
        </w:rPr>
        <w:t xml:space="preserve"> and Technology </w:t>
      </w:r>
      <w:proofErr w:type="spellStart"/>
      <w:r w:rsidRPr="00A55AEB">
        <w:rPr>
          <w:rFonts w:ascii="Arial" w:hAnsi="Arial" w:cs="Arial"/>
          <w:sz w:val="20"/>
          <w:szCs w:val="20"/>
        </w:rPr>
        <w:t>Solutions</w:t>
      </w:r>
      <w:proofErr w:type="spellEnd"/>
      <w:r w:rsidRPr="00A55AEB">
        <w:rPr>
          <w:rFonts w:ascii="Arial" w:hAnsi="Arial" w:cs="Arial"/>
          <w:sz w:val="20"/>
          <w:szCs w:val="20"/>
        </w:rPr>
        <w:t>“,</w:t>
      </w:r>
    </w:p>
    <w:p w:rsidR="00A55AEB" w:rsidRPr="0010345A" w:rsidRDefault="00100DDF" w:rsidP="00C7169E">
      <w:pPr>
        <w:pStyle w:val="Odstavecseseznamem"/>
        <w:numPr>
          <w:ilvl w:val="0"/>
          <w:numId w:val="37"/>
        </w:num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A55AEB">
        <w:rPr>
          <w:rFonts w:ascii="Arial" w:hAnsi="Arial" w:cs="Arial"/>
          <w:sz w:val="20"/>
          <w:szCs w:val="20"/>
        </w:rPr>
        <w:t xml:space="preserve">„S/4 HANA </w:t>
      </w:r>
      <w:proofErr w:type="spellStart"/>
      <w:r w:rsidRPr="00A55AEB">
        <w:rPr>
          <w:rFonts w:ascii="Arial" w:hAnsi="Arial" w:cs="Arial"/>
          <w:sz w:val="20"/>
          <w:szCs w:val="20"/>
        </w:rPr>
        <w:t>Cloud</w:t>
      </w:r>
      <w:proofErr w:type="spellEnd"/>
      <w:r w:rsidRPr="00A55AE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55AEB">
        <w:rPr>
          <w:rFonts w:ascii="Arial" w:hAnsi="Arial" w:cs="Arial"/>
          <w:sz w:val="20"/>
          <w:szCs w:val="20"/>
        </w:rPr>
        <w:t>Solutions</w:t>
      </w:r>
      <w:proofErr w:type="spellEnd"/>
      <w:r w:rsidRPr="00A55AEB">
        <w:rPr>
          <w:rFonts w:ascii="Arial" w:hAnsi="Arial" w:cs="Arial"/>
          <w:sz w:val="20"/>
          <w:szCs w:val="20"/>
        </w:rPr>
        <w:t>“</w:t>
      </w:r>
      <w:r w:rsidR="005B133B" w:rsidRPr="0010345A">
        <w:rPr>
          <w:rFonts w:ascii="Arial" w:hAnsi="Arial" w:cs="Arial"/>
          <w:sz w:val="20"/>
          <w:szCs w:val="20"/>
        </w:rPr>
        <w:t xml:space="preserve">. </w:t>
      </w:r>
    </w:p>
    <w:p w:rsidR="00BA581E" w:rsidRDefault="00BA581E">
      <w:pPr>
        <w:rPr>
          <w:rFonts w:ascii="Arial" w:hAnsi="Arial" w:cs="Arial"/>
          <w:b/>
          <w:sz w:val="20"/>
          <w:szCs w:val="20"/>
        </w:rPr>
      </w:pPr>
    </w:p>
    <w:p w:rsidR="00BA581E" w:rsidRDefault="00BA581E">
      <w:pPr>
        <w:rPr>
          <w:rFonts w:ascii="Arial" w:hAnsi="Arial" w:cs="Arial"/>
          <w:b/>
          <w:sz w:val="20"/>
          <w:szCs w:val="20"/>
        </w:rPr>
        <w:sectPr w:rsidR="00BA581E" w:rsidSect="00BB44BD">
          <w:headerReference w:type="default" r:id="rId14"/>
          <w:footerReference w:type="even" r:id="rId15"/>
          <w:footerReference w:type="default" r:id="rId16"/>
          <w:headerReference w:type="first" r:id="rId17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:rsidR="00A55AEB" w:rsidRDefault="00A55AEB" w:rsidP="00A55AEB">
      <w:pPr>
        <w:spacing w:before="120" w:after="120" w:line="280" w:lineRule="atLeast"/>
        <w:jc w:val="both"/>
        <w:rPr>
          <w:rFonts w:ascii="Arial" w:hAnsi="Arial" w:cs="Arial"/>
          <w:sz w:val="20"/>
          <w:szCs w:val="20"/>
        </w:rPr>
      </w:pPr>
      <w:r w:rsidRPr="00084F54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84F54">
        <w:rPr>
          <w:rFonts w:ascii="Arial" w:hAnsi="Arial" w:cs="Arial"/>
          <w:sz w:val="20"/>
          <w:szCs w:val="20"/>
        </w:rPr>
        <w:t>:</w:t>
      </w:r>
    </w:p>
    <w:p w:rsidR="00A55AEB" w:rsidRDefault="00A55AEB" w:rsidP="00BA581E">
      <w:pPr>
        <w:spacing w:before="120" w:after="240" w:line="280" w:lineRule="atLea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neuvedl v příloze č. 6 ZD některé běžné licence. Navrhuje</w:t>
      </w:r>
      <w:r w:rsidR="006A1487">
        <w:rPr>
          <w:rFonts w:ascii="Arial" w:hAnsi="Arial" w:cs="Arial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 xml:space="preserve"> přidat do přílohy č. 6 následující položky:</w:t>
      </w:r>
      <w:r w:rsidRPr="00A55AEB">
        <w:rPr>
          <w:rFonts w:ascii="Arial" w:hAnsi="Arial" w:cs="Arial"/>
          <w:noProof/>
          <w:sz w:val="20"/>
          <w:szCs w:val="20"/>
        </w:rPr>
        <w:t xml:space="preserve"> 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976"/>
        <w:gridCol w:w="567"/>
        <w:gridCol w:w="3119"/>
        <w:gridCol w:w="3118"/>
        <w:gridCol w:w="983"/>
        <w:gridCol w:w="1396"/>
        <w:gridCol w:w="1205"/>
      </w:tblGrid>
      <w:tr w:rsidR="00BA581E" w:rsidTr="00C17FE5">
        <w:trPr>
          <w:trHeight w:val="330"/>
        </w:trPr>
        <w:tc>
          <w:tcPr>
            <w:tcW w:w="117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:rsidR="00BA581E" w:rsidRDefault="00BA581E" w:rsidP="00C17FE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Nabídka licencí SAP</w:t>
            </w:r>
          </w:p>
        </w:tc>
        <w:tc>
          <w:tcPr>
            <w:tcW w:w="26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bottom"/>
            <w:hideMark/>
          </w:tcPr>
          <w:p w:rsidR="00BA581E" w:rsidRDefault="00BA581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Dílčí hodnotící kritérium B</w:t>
            </w:r>
          </w:p>
        </w:tc>
      </w:tr>
      <w:tr w:rsidR="003C685F" w:rsidTr="00C17FE5">
        <w:trPr>
          <w:trHeight w:val="114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581E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materiální číslo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581E" w:rsidRDefault="00BA58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produkt - ceníková položka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581E" w:rsidRDefault="00BA58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blok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581E" w:rsidRDefault="00BA58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metrika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581E" w:rsidRDefault="00BA58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Nejvyšší přípustná nabídková cena za položku (pokud je uvedena; u položek označených N/A zadavatel nestanovil nejvyšší přípustnou nabídkovou cenu za položku)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581E" w:rsidRDefault="00BA58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min. počet bloků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581E" w:rsidRDefault="00BA58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Nabídková cena za položku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581E" w:rsidRDefault="00BA58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nabídková cena za blok</w:t>
            </w:r>
          </w:p>
        </w:tc>
      </w:tr>
      <w:tr w:rsidR="00C17FE5" w:rsidTr="00C17FE5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A581E" w:rsidRDefault="00BA58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A581E" w:rsidRPr="00BA581E" w:rsidRDefault="00BA581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A581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SAP Business Suite Users (existing contracts only)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A581E" w:rsidRPr="00BA581E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A581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A581E" w:rsidRPr="00BA581E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A581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A581E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A581E" w:rsidRDefault="00BA58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A581E" w:rsidRDefault="00BA581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A581E" w:rsidRDefault="00BA581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7002389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Developer User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Developer User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168000,00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7001125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Professional User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Professional User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106400,00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7001126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Employee User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Employee User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11200,00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7003017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Employee Self-Service User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Employee Self-Service User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3500,00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7011051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Employee Self-Service Core User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Business Suite Employee Self-Service Core User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1680,00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7011045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Manager Self-Service User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Manager Self-Service User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16800,00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7018568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 xml:space="preserve">SAP </w:t>
            </w:r>
            <w:proofErr w:type="spellStart"/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BusinessObjects</w:t>
            </w:r>
            <w:proofErr w:type="spellEnd"/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 xml:space="preserve"> Enterprise, professional edition (user)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Users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64400,00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7018569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 xml:space="preserve">SAP </w:t>
            </w:r>
            <w:proofErr w:type="spellStart"/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BusinessObjects</w:t>
            </w:r>
            <w:proofErr w:type="spellEnd"/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 xml:space="preserve"> Enterprise, professional edition (CS)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Concurrent sessions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2060800,00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7015920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Process Orchestration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Cores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2240000,00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  <w:tr w:rsidR="00C17FE5" w:rsidTr="003C685F">
        <w:trPr>
          <w:trHeight w:val="39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7017373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SAP Payroll Processing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500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81E" w:rsidRPr="00C17FE5" w:rsidRDefault="00BA581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7FE5">
              <w:rPr>
                <w:rFonts w:ascii="Arial" w:hAnsi="Arial" w:cs="Arial"/>
                <w:sz w:val="16"/>
                <w:szCs w:val="16"/>
                <w:lang w:val="en-US"/>
              </w:rPr>
              <w:t>Employees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210000,00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A581E" w:rsidRPr="00C17FE5" w:rsidRDefault="00BA58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17FE5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BA581E" w:rsidRPr="00C17FE5" w:rsidRDefault="00BA581E" w:rsidP="00C17FE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17FE5">
              <w:rPr>
                <w:rFonts w:ascii="Arial" w:hAnsi="Arial" w:cs="Arial"/>
                <w:color w:val="000000"/>
                <w:sz w:val="16"/>
                <w:szCs w:val="16"/>
              </w:rPr>
              <w:t>0,00 Kč</w:t>
            </w:r>
          </w:p>
        </w:tc>
      </w:tr>
    </w:tbl>
    <w:p w:rsidR="00A55AEB" w:rsidRPr="00A55AEB" w:rsidRDefault="00A55AEB" w:rsidP="00A55AEB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A55AEB" w:rsidRDefault="00A55AEB" w:rsidP="00A55AEB">
      <w:pPr>
        <w:spacing w:before="120"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668C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04DB6" w:rsidRDefault="00C04DB6" w:rsidP="00914FE3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</w:p>
    <w:p w:rsidR="0010345A" w:rsidRDefault="0085237B" w:rsidP="00914FE3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potvrzuje, že jde o běžné licence, které samozřejmě jsou předmětem plnění této veřejné zakázky a v původn</w:t>
      </w:r>
      <w:r w:rsidR="00CA098C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tabulce nebyly uvedeny pouze administrativním nedopatřením na straně zadavatele, </w:t>
      </w:r>
      <w:r w:rsidR="0010345A">
        <w:rPr>
          <w:rFonts w:ascii="Arial" w:hAnsi="Arial" w:cs="Arial"/>
          <w:sz w:val="20"/>
          <w:szCs w:val="20"/>
        </w:rPr>
        <w:t xml:space="preserve">Položky </w:t>
      </w:r>
      <w:r>
        <w:rPr>
          <w:rFonts w:ascii="Arial" w:hAnsi="Arial" w:cs="Arial"/>
          <w:sz w:val="20"/>
          <w:szCs w:val="20"/>
        </w:rPr>
        <w:t xml:space="preserve">tedy zadavatel </w:t>
      </w:r>
      <w:r w:rsidR="0010345A">
        <w:rPr>
          <w:rFonts w:ascii="Arial" w:hAnsi="Arial" w:cs="Arial"/>
          <w:sz w:val="20"/>
          <w:szCs w:val="20"/>
        </w:rPr>
        <w:t>zařaz</w:t>
      </w:r>
      <w:r>
        <w:rPr>
          <w:rFonts w:ascii="Arial" w:hAnsi="Arial" w:cs="Arial"/>
          <w:sz w:val="20"/>
          <w:szCs w:val="20"/>
        </w:rPr>
        <w:t>uje</w:t>
      </w:r>
      <w:r w:rsidR="0010345A">
        <w:rPr>
          <w:rFonts w:ascii="Arial" w:hAnsi="Arial" w:cs="Arial"/>
          <w:sz w:val="20"/>
          <w:szCs w:val="20"/>
        </w:rPr>
        <w:t xml:space="preserve"> na řádky č. 4 – 13 hodnotící tabulky. </w:t>
      </w:r>
    </w:p>
    <w:p w:rsidR="0085237B" w:rsidRDefault="0010345A" w:rsidP="00914FE3">
      <w:pPr>
        <w:spacing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S ohledem na povahu dotaz</w:t>
      </w:r>
      <w:r w:rsidR="0085237B">
        <w:rPr>
          <w:rFonts w:ascii="Arial" w:hAnsi="Arial" w:cs="Arial"/>
          <w:b/>
          <w:sz w:val="20"/>
          <w:szCs w:val="20"/>
        </w:rPr>
        <w:t>ů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05621">
        <w:rPr>
          <w:rFonts w:ascii="Arial" w:hAnsi="Arial" w:cs="Arial"/>
          <w:b/>
          <w:sz w:val="20"/>
          <w:szCs w:val="20"/>
        </w:rPr>
        <w:t>a odpověd</w:t>
      </w:r>
      <w:r w:rsidR="0085237B">
        <w:rPr>
          <w:rFonts w:ascii="Arial" w:hAnsi="Arial" w:cs="Arial"/>
          <w:b/>
          <w:sz w:val="20"/>
          <w:szCs w:val="20"/>
        </w:rPr>
        <w:t>í</w:t>
      </w:r>
      <w:r w:rsidR="00605621">
        <w:rPr>
          <w:rFonts w:ascii="Arial" w:hAnsi="Arial" w:cs="Arial"/>
          <w:b/>
          <w:sz w:val="20"/>
          <w:szCs w:val="20"/>
        </w:rPr>
        <w:t xml:space="preserve"> Z</w:t>
      </w:r>
      <w:r>
        <w:rPr>
          <w:rFonts w:ascii="Arial" w:hAnsi="Arial" w:cs="Arial"/>
          <w:b/>
          <w:sz w:val="20"/>
          <w:szCs w:val="20"/>
        </w:rPr>
        <w:t>adavatele, kterými se nemění zadávací podmínky, ale pouze upřesňuje hodnotící model, aby zcela odpovídal specifikovanému předmětu plnění veřejné zakázky</w:t>
      </w:r>
      <w:r w:rsidR="0085237B">
        <w:rPr>
          <w:rFonts w:ascii="Arial" w:hAnsi="Arial" w:cs="Arial"/>
          <w:b/>
          <w:sz w:val="20"/>
          <w:szCs w:val="20"/>
        </w:rPr>
        <w:t>, a kterými so odstraňuje dílčí administrativní nedopatření, z</w:t>
      </w:r>
      <w:r w:rsidR="00605621">
        <w:rPr>
          <w:rFonts w:ascii="Arial" w:hAnsi="Arial" w:cs="Arial"/>
          <w:b/>
          <w:sz w:val="20"/>
          <w:szCs w:val="20"/>
        </w:rPr>
        <w:t xml:space="preserve">adavatel </w:t>
      </w:r>
      <w:r w:rsidR="0085237B">
        <w:rPr>
          <w:rFonts w:ascii="Arial" w:hAnsi="Arial" w:cs="Arial"/>
          <w:b/>
          <w:sz w:val="20"/>
          <w:szCs w:val="20"/>
        </w:rPr>
        <w:t xml:space="preserve">přiměřeně </w:t>
      </w:r>
      <w:r w:rsidR="00605621">
        <w:rPr>
          <w:rFonts w:ascii="Arial" w:hAnsi="Arial" w:cs="Arial"/>
          <w:b/>
          <w:sz w:val="20"/>
          <w:szCs w:val="20"/>
        </w:rPr>
        <w:t>prodlužuje lhůtu pro podání nabídek</w:t>
      </w:r>
      <w:r w:rsidR="0085237B">
        <w:rPr>
          <w:rFonts w:ascii="Arial" w:hAnsi="Arial" w:cs="Arial"/>
          <w:b/>
          <w:sz w:val="20"/>
          <w:szCs w:val="20"/>
        </w:rPr>
        <w:t xml:space="preserve">, a to o 2 pracovní dny. </w:t>
      </w:r>
      <w:r w:rsidR="0085237B" w:rsidRPr="008668C0">
        <w:rPr>
          <w:rFonts w:ascii="Arial" w:hAnsi="Arial" w:cs="Arial"/>
          <w:b/>
          <w:sz w:val="20"/>
          <w:szCs w:val="20"/>
          <w:u w:val="single"/>
        </w:rPr>
        <w:t>Lhůta pro podání nabídek je</w:t>
      </w:r>
      <w:r w:rsidR="00605621" w:rsidRPr="008668C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5237B" w:rsidRPr="008668C0">
        <w:rPr>
          <w:rFonts w:ascii="Arial" w:hAnsi="Arial" w:cs="Arial"/>
          <w:b/>
          <w:sz w:val="20"/>
          <w:szCs w:val="20"/>
          <w:u w:val="single"/>
        </w:rPr>
        <w:t xml:space="preserve">tak nově stanovena </w:t>
      </w:r>
      <w:r w:rsidR="00605621" w:rsidRPr="008668C0">
        <w:rPr>
          <w:rFonts w:ascii="Arial" w:hAnsi="Arial" w:cs="Arial"/>
          <w:b/>
          <w:sz w:val="20"/>
          <w:szCs w:val="20"/>
          <w:u w:val="single"/>
        </w:rPr>
        <w:t>do 21. října 2016</w:t>
      </w:r>
      <w:r w:rsidR="008668C0">
        <w:rPr>
          <w:rFonts w:ascii="Arial" w:hAnsi="Arial" w:cs="Arial"/>
          <w:b/>
          <w:sz w:val="20"/>
          <w:szCs w:val="20"/>
          <w:u w:val="single"/>
        </w:rPr>
        <w:t xml:space="preserve"> do 14:00 hodin</w:t>
      </w:r>
      <w:r w:rsidR="0085237B">
        <w:rPr>
          <w:rFonts w:ascii="Arial" w:hAnsi="Arial" w:cs="Arial"/>
          <w:b/>
          <w:sz w:val="20"/>
          <w:szCs w:val="20"/>
        </w:rPr>
        <w:t xml:space="preserve">. </w:t>
      </w:r>
    </w:p>
    <w:p w:rsidR="0010345A" w:rsidRDefault="0085237B" w:rsidP="00914FE3">
      <w:pPr>
        <w:spacing w:after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="00605621">
        <w:rPr>
          <w:rFonts w:ascii="Arial" w:hAnsi="Arial" w:cs="Arial"/>
          <w:b/>
          <w:sz w:val="20"/>
          <w:szCs w:val="20"/>
        </w:rPr>
        <w:t>a základě těchto dodatečných informací nedo</w:t>
      </w:r>
      <w:r>
        <w:rPr>
          <w:rFonts w:ascii="Arial" w:hAnsi="Arial" w:cs="Arial"/>
          <w:b/>
          <w:sz w:val="20"/>
          <w:szCs w:val="20"/>
        </w:rPr>
        <w:t>chází</w:t>
      </w:r>
      <w:r w:rsidR="00605621">
        <w:rPr>
          <w:rFonts w:ascii="Arial" w:hAnsi="Arial" w:cs="Arial"/>
          <w:b/>
          <w:sz w:val="20"/>
          <w:szCs w:val="20"/>
        </w:rPr>
        <w:t xml:space="preserve"> k úpravě zadávacích podmínek, která by mohla </w:t>
      </w:r>
      <w:r w:rsidR="00605621" w:rsidRPr="00605621">
        <w:rPr>
          <w:rFonts w:ascii="Arial" w:hAnsi="Arial" w:cs="Arial"/>
          <w:b/>
          <w:sz w:val="20"/>
          <w:szCs w:val="20"/>
        </w:rPr>
        <w:t xml:space="preserve">rozšířit okruh možných dodavatelů. </w:t>
      </w:r>
      <w:r w:rsidR="00605621">
        <w:rPr>
          <w:rFonts w:ascii="Arial" w:hAnsi="Arial" w:cs="Arial"/>
          <w:b/>
          <w:sz w:val="20"/>
          <w:szCs w:val="20"/>
        </w:rPr>
        <w:t xml:space="preserve">Potenciálními dodavateli v předmětné veřejné zakázce jsou nadále pouze registrovaní obchodní partneři SAP, neboť pouze ti mohou poskytnout licence a související služby </w:t>
      </w:r>
      <w:proofErr w:type="spellStart"/>
      <w:r w:rsidR="00605621">
        <w:rPr>
          <w:rFonts w:ascii="Arial" w:hAnsi="Arial" w:cs="Arial"/>
          <w:b/>
          <w:sz w:val="20"/>
          <w:szCs w:val="20"/>
        </w:rPr>
        <w:t>maintenance</w:t>
      </w:r>
      <w:proofErr w:type="spellEnd"/>
      <w:r w:rsidR="00605621">
        <w:rPr>
          <w:rFonts w:ascii="Arial" w:hAnsi="Arial" w:cs="Arial"/>
          <w:b/>
          <w:sz w:val="20"/>
          <w:szCs w:val="20"/>
        </w:rPr>
        <w:t xml:space="preserve"> v požadovaném rozsahu. </w:t>
      </w:r>
    </w:p>
    <w:p w:rsidR="00605621" w:rsidRPr="008668C0" w:rsidRDefault="00605621" w:rsidP="00914FE3">
      <w:pPr>
        <w:spacing w:after="12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68C0">
        <w:rPr>
          <w:rFonts w:ascii="Arial" w:hAnsi="Arial" w:cs="Arial"/>
          <w:b/>
          <w:sz w:val="20"/>
          <w:szCs w:val="20"/>
          <w:u w:val="single"/>
        </w:rPr>
        <w:t>Součástí těchto dodatečných informací je aktualizovan</w:t>
      </w:r>
      <w:r w:rsidR="0085237B" w:rsidRPr="008668C0">
        <w:rPr>
          <w:rFonts w:ascii="Arial" w:hAnsi="Arial" w:cs="Arial"/>
          <w:b/>
          <w:sz w:val="20"/>
          <w:szCs w:val="20"/>
          <w:u w:val="single"/>
        </w:rPr>
        <w:t>á</w:t>
      </w:r>
      <w:r w:rsidRPr="008668C0">
        <w:rPr>
          <w:rFonts w:ascii="Arial" w:hAnsi="Arial" w:cs="Arial"/>
          <w:b/>
          <w:sz w:val="20"/>
          <w:szCs w:val="20"/>
          <w:u w:val="single"/>
        </w:rPr>
        <w:t xml:space="preserve"> hodnotící tabulka – příloha č. 6 zadávací dokumentace, která reflektuje výše uvedené </w:t>
      </w:r>
      <w:r w:rsidR="00F7274C" w:rsidRPr="008668C0">
        <w:rPr>
          <w:rFonts w:ascii="Arial" w:hAnsi="Arial" w:cs="Arial"/>
          <w:b/>
          <w:sz w:val="20"/>
          <w:szCs w:val="20"/>
          <w:u w:val="single"/>
        </w:rPr>
        <w:t xml:space="preserve">úpravy. </w:t>
      </w:r>
    </w:p>
    <w:p w:rsidR="004E2920" w:rsidRPr="004E2920" w:rsidRDefault="004E2920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3378E" w:rsidRDefault="00044A47" w:rsidP="00C17FE5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844D69">
        <w:rPr>
          <w:rFonts w:ascii="Arial" w:hAnsi="Arial" w:cs="Arial"/>
          <w:sz w:val="20"/>
          <w:szCs w:val="20"/>
        </w:rPr>
        <w:t xml:space="preserve">V Praze dne </w:t>
      </w:r>
      <w:r w:rsidR="00A55AEB" w:rsidRPr="008668C0">
        <w:rPr>
          <w:rFonts w:ascii="Arial" w:hAnsi="Arial" w:cs="Arial"/>
          <w:sz w:val="20"/>
          <w:szCs w:val="20"/>
        </w:rPr>
        <w:t>14</w:t>
      </w:r>
      <w:r w:rsidR="00A55AEB" w:rsidRPr="008668C0">
        <w:rPr>
          <w:rFonts w:ascii="Arial" w:hAnsi="Arial" w:cs="Arial"/>
          <w:sz w:val="20"/>
          <w:szCs w:val="20"/>
          <w:lang w:eastAsia="en-US" w:bidi="en-US"/>
        </w:rPr>
        <w:t>.</w:t>
      </w:r>
      <w:r w:rsidR="00A55AEB" w:rsidRPr="00844D69">
        <w:rPr>
          <w:rFonts w:ascii="Arial" w:hAnsi="Arial" w:cs="Arial"/>
          <w:sz w:val="20"/>
          <w:szCs w:val="20"/>
          <w:lang w:eastAsia="en-US" w:bidi="en-US"/>
        </w:rPr>
        <w:t xml:space="preserve"> 9</w:t>
      </w:r>
      <w:r w:rsidR="009148D1" w:rsidRPr="00844D69">
        <w:rPr>
          <w:rFonts w:ascii="Arial" w:hAnsi="Arial" w:cs="Arial"/>
          <w:sz w:val="20"/>
          <w:szCs w:val="20"/>
          <w:lang w:eastAsia="en-US" w:bidi="en-US"/>
        </w:rPr>
        <w:t>. 2016</w:t>
      </w:r>
      <w:bookmarkStart w:id="0" w:name="_GoBack"/>
      <w:bookmarkEnd w:id="0"/>
    </w:p>
    <w:sectPr w:rsidR="0003378E" w:rsidSect="003C685F">
      <w:pgSz w:w="16838" w:h="11906" w:orient="landscape"/>
      <w:pgMar w:top="1417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84E" w:rsidRDefault="00DA184E">
      <w:r>
        <w:separator/>
      </w:r>
    </w:p>
  </w:endnote>
  <w:endnote w:type="continuationSeparator" w:id="0">
    <w:p w:rsidR="00DA184E" w:rsidRDefault="00DA184E">
      <w:r>
        <w:continuationSeparator/>
      </w:r>
    </w:p>
  </w:endnote>
  <w:endnote w:type="continuationNotice" w:id="1">
    <w:p w:rsidR="00DA184E" w:rsidRDefault="00DA18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729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7298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668C0">
      <w:rPr>
        <w:rStyle w:val="slostrnky"/>
        <w:rFonts w:ascii="Arial" w:hAnsi="Arial" w:cs="Arial"/>
        <w:noProof/>
        <w:sz w:val="20"/>
        <w:szCs w:val="20"/>
      </w:rPr>
      <w:t>6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668C0">
      <w:rPr>
        <w:rStyle w:val="slostrnky"/>
        <w:rFonts w:ascii="Arial" w:hAnsi="Arial" w:cs="Arial"/>
        <w:noProof/>
        <w:sz w:val="20"/>
        <w:szCs w:val="20"/>
      </w:rPr>
      <w:t>6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84E" w:rsidRDefault="00DA184E">
      <w:r>
        <w:separator/>
      </w:r>
    </w:p>
  </w:footnote>
  <w:footnote w:type="continuationSeparator" w:id="0">
    <w:p w:rsidR="00DA184E" w:rsidRDefault="00DA184E">
      <w:r>
        <w:continuationSeparator/>
      </w:r>
    </w:p>
  </w:footnote>
  <w:footnote w:type="continuationNotice" w:id="1">
    <w:p w:rsidR="00DA184E" w:rsidRDefault="00DA18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441E8C"/>
    <w:multiLevelType w:val="hybridMultilevel"/>
    <w:tmpl w:val="21E81556"/>
    <w:lvl w:ilvl="0" w:tplc="0FEC3B9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6E24C6"/>
    <w:multiLevelType w:val="hybridMultilevel"/>
    <w:tmpl w:val="F9EC8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6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3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16"/>
  </w:num>
  <w:num w:numId="4">
    <w:abstractNumId w:val="13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2"/>
  </w:num>
  <w:num w:numId="11">
    <w:abstractNumId w:val="5"/>
  </w:num>
  <w:num w:numId="12">
    <w:abstractNumId w:val="12"/>
  </w:num>
  <w:num w:numId="13">
    <w:abstractNumId w:val="17"/>
  </w:num>
  <w:num w:numId="14">
    <w:abstractNumId w:val="31"/>
  </w:num>
  <w:num w:numId="15">
    <w:abstractNumId w:val="29"/>
  </w:num>
  <w:num w:numId="16">
    <w:abstractNumId w:val="22"/>
  </w:num>
  <w:num w:numId="17">
    <w:abstractNumId w:val="0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3"/>
  </w:num>
  <w:num w:numId="21">
    <w:abstractNumId w:val="15"/>
  </w:num>
  <w:num w:numId="22">
    <w:abstractNumId w:val="18"/>
  </w:num>
  <w:num w:numId="23">
    <w:abstractNumId w:val="33"/>
  </w:num>
  <w:num w:numId="24">
    <w:abstractNumId w:val="10"/>
  </w:num>
  <w:num w:numId="25">
    <w:abstractNumId w:val="9"/>
  </w:num>
  <w:num w:numId="26">
    <w:abstractNumId w:val="25"/>
  </w:num>
  <w:num w:numId="27">
    <w:abstractNumId w:val="28"/>
  </w:num>
  <w:num w:numId="28">
    <w:abstractNumId w:val="4"/>
  </w:num>
  <w:num w:numId="29">
    <w:abstractNumId w:val="6"/>
  </w:num>
  <w:num w:numId="30">
    <w:abstractNumId w:val="21"/>
  </w:num>
  <w:num w:numId="31">
    <w:abstractNumId w:val="30"/>
  </w:num>
  <w:num w:numId="32">
    <w:abstractNumId w:val="7"/>
  </w:num>
  <w:num w:numId="33">
    <w:abstractNumId w:val="26"/>
  </w:num>
  <w:num w:numId="34">
    <w:abstractNumId w:val="24"/>
  </w:num>
  <w:num w:numId="35">
    <w:abstractNumId w:val="14"/>
  </w:num>
  <w:num w:numId="36">
    <w:abstractNumId w:val="8"/>
  </w:num>
  <w:num w:numId="37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C24DF"/>
    <w:rsid w:val="000C34DC"/>
    <w:rsid w:val="000C404D"/>
    <w:rsid w:val="000C5F1A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0DDF"/>
    <w:rsid w:val="0010345A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6C51"/>
    <w:rsid w:val="001672AD"/>
    <w:rsid w:val="001718BD"/>
    <w:rsid w:val="00174079"/>
    <w:rsid w:val="001772A5"/>
    <w:rsid w:val="001830B0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714"/>
    <w:rsid w:val="001C780F"/>
    <w:rsid w:val="001D5F52"/>
    <w:rsid w:val="001D7BD8"/>
    <w:rsid w:val="001D7D3D"/>
    <w:rsid w:val="001E516A"/>
    <w:rsid w:val="001F0E98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64A1"/>
    <w:rsid w:val="00296A2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685F"/>
    <w:rsid w:val="003C74FC"/>
    <w:rsid w:val="003D2DE8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444CC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513F"/>
    <w:rsid w:val="00535533"/>
    <w:rsid w:val="00540485"/>
    <w:rsid w:val="00541A05"/>
    <w:rsid w:val="005468FB"/>
    <w:rsid w:val="00553E00"/>
    <w:rsid w:val="00560D1E"/>
    <w:rsid w:val="00570526"/>
    <w:rsid w:val="00575442"/>
    <w:rsid w:val="005759CB"/>
    <w:rsid w:val="005919BE"/>
    <w:rsid w:val="0059229E"/>
    <w:rsid w:val="005B0057"/>
    <w:rsid w:val="005B133B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5621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76B29"/>
    <w:rsid w:val="006856A7"/>
    <w:rsid w:val="006873B5"/>
    <w:rsid w:val="00690E6E"/>
    <w:rsid w:val="00691439"/>
    <w:rsid w:val="006A1487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85DF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4D69"/>
    <w:rsid w:val="0084529C"/>
    <w:rsid w:val="0085237B"/>
    <w:rsid w:val="00853AC8"/>
    <w:rsid w:val="0085796D"/>
    <w:rsid w:val="008620D3"/>
    <w:rsid w:val="0086514C"/>
    <w:rsid w:val="00866140"/>
    <w:rsid w:val="00866372"/>
    <w:rsid w:val="008668C0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14FE3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96B72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16"/>
    <w:rsid w:val="00A26581"/>
    <w:rsid w:val="00A27E39"/>
    <w:rsid w:val="00A311F3"/>
    <w:rsid w:val="00A31705"/>
    <w:rsid w:val="00A347DB"/>
    <w:rsid w:val="00A36FB7"/>
    <w:rsid w:val="00A43573"/>
    <w:rsid w:val="00A4370F"/>
    <w:rsid w:val="00A44171"/>
    <w:rsid w:val="00A52940"/>
    <w:rsid w:val="00A55AEB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475D"/>
    <w:rsid w:val="00AA2B27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566C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581E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4DB6"/>
    <w:rsid w:val="00C05B66"/>
    <w:rsid w:val="00C07A26"/>
    <w:rsid w:val="00C10593"/>
    <w:rsid w:val="00C12DC9"/>
    <w:rsid w:val="00C14F65"/>
    <w:rsid w:val="00C17FE5"/>
    <w:rsid w:val="00C2151C"/>
    <w:rsid w:val="00C21DBF"/>
    <w:rsid w:val="00C22555"/>
    <w:rsid w:val="00C45701"/>
    <w:rsid w:val="00C46AB1"/>
    <w:rsid w:val="00C5052B"/>
    <w:rsid w:val="00C610C1"/>
    <w:rsid w:val="00C61C09"/>
    <w:rsid w:val="00C7169E"/>
    <w:rsid w:val="00C73F32"/>
    <w:rsid w:val="00C75471"/>
    <w:rsid w:val="00C775FF"/>
    <w:rsid w:val="00C80DE6"/>
    <w:rsid w:val="00C8338D"/>
    <w:rsid w:val="00C86313"/>
    <w:rsid w:val="00C97DC6"/>
    <w:rsid w:val="00CA098C"/>
    <w:rsid w:val="00CA462E"/>
    <w:rsid w:val="00CA4C6A"/>
    <w:rsid w:val="00CA4EFF"/>
    <w:rsid w:val="00CA540E"/>
    <w:rsid w:val="00CA68BE"/>
    <w:rsid w:val="00CA77D6"/>
    <w:rsid w:val="00CB3734"/>
    <w:rsid w:val="00CB60ED"/>
    <w:rsid w:val="00CC538A"/>
    <w:rsid w:val="00CD0676"/>
    <w:rsid w:val="00CD46EF"/>
    <w:rsid w:val="00CE4549"/>
    <w:rsid w:val="00CF4A8A"/>
    <w:rsid w:val="00CF5F10"/>
    <w:rsid w:val="00D045AE"/>
    <w:rsid w:val="00D04AA1"/>
    <w:rsid w:val="00D05DB2"/>
    <w:rsid w:val="00D06B0E"/>
    <w:rsid w:val="00D127E1"/>
    <w:rsid w:val="00D144B8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84E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0551C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7274C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paragraph" w:customStyle="1" w:styleId="Styl2">
    <w:name w:val="Styl2"/>
    <w:basedOn w:val="Normln"/>
    <w:qFormat/>
    <w:rsid w:val="00914FE3"/>
    <w:pPr>
      <w:spacing w:before="120" w:after="120" w:line="320" w:lineRule="atLeast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paragraph" w:customStyle="1" w:styleId="Styl2">
    <w:name w:val="Styl2"/>
    <w:basedOn w:val="Normln"/>
    <w:qFormat/>
    <w:rsid w:val="00914FE3"/>
    <w:pPr>
      <w:spacing w:before="120" w:after="120" w:line="320" w:lineRule="atLeast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www.w3.org/XML/1998/namespace"/>
    <ds:schemaRef ds:uri="5e6c6c5c-474c-4ef7-b7d6-59a0e77cc256"/>
    <ds:schemaRef ds:uri="4085a4f5-5f40-4143-b221-75ee5dde648a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8662c659-72ab-411b-b755-fbef5cbbde1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1D70FC-0195-4E2D-92A3-FE265A40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1248</Words>
  <Characters>7739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8970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3</cp:revision>
  <cp:lastPrinted>2016-07-25T12:04:00Z</cp:lastPrinted>
  <dcterms:created xsi:type="dcterms:W3CDTF">2016-09-14T12:20:00Z</dcterms:created>
  <dcterms:modified xsi:type="dcterms:W3CDTF">2016-09-14T12:24:00Z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